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DB615A" w:rsidRPr="00DB615A" w:rsidTr="00DB615A">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DB615A" w:rsidRPr="00DB61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0" w:type="dxa"/>
                                <w:left w:w="270" w:type="dxa"/>
                                <w:bottom w:w="135" w:type="dxa"/>
                                <w:right w:w="270" w:type="dxa"/>
                              </w:tcMar>
                              <w:hideMark/>
                            </w:tcPr>
                            <w:p w:rsidR="00DB615A" w:rsidRPr="00DB615A" w:rsidRDefault="00DB615A" w:rsidP="00DB615A">
                              <w:pPr>
                                <w:spacing w:after="0" w:line="270" w:lineRule="atLeast"/>
                                <w:rPr>
                                  <w:rFonts w:ascii="Verdana" w:eastAsia="Times New Roman" w:hAnsi="Verdana" w:cs="Times New Roman"/>
                                  <w:color w:val="000000"/>
                                  <w:sz w:val="18"/>
                                  <w:szCs w:val="18"/>
                                  <w:lang w:eastAsia="en-IE"/>
                                </w:rPr>
                              </w:pPr>
                              <w:r w:rsidRPr="00DB615A">
                                <w:rPr>
                                  <w:rFonts w:ascii="Verdana" w:eastAsia="Times New Roman" w:hAnsi="Verdana" w:cs="Times New Roman"/>
                                  <w:b/>
                                  <w:bCs/>
                                  <w:color w:val="000000"/>
                                  <w:sz w:val="18"/>
                                  <w:szCs w:val="18"/>
                                  <w:lang w:eastAsia="en-IE"/>
                                </w:rPr>
                                <w:t>Boston Consulting Group and NIBRT announce the Biopharma 4.0 Alliance </w:t>
                              </w:r>
                            </w:p>
                          </w:tc>
                        </w:tr>
                      </w:tbl>
                      <w:p w:rsidR="00DB615A" w:rsidRPr="00DB615A" w:rsidRDefault="00DB615A" w:rsidP="00DB615A">
                        <w:pPr>
                          <w:spacing w:after="0" w:line="240" w:lineRule="auto"/>
                          <w:rPr>
                            <w:rFonts w:ascii="Times New Roman" w:eastAsia="Times New Roman" w:hAnsi="Times New Roman" w:cs="Times New Roman"/>
                            <w:vanish/>
                            <w:sz w:val="24"/>
                            <w:szCs w:val="24"/>
                            <w:lang w:eastAsia="en-IE"/>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0" w:type="dxa"/>
                                <w:left w:w="270" w:type="dxa"/>
                                <w:bottom w:w="135" w:type="dxa"/>
                                <w:right w:w="270" w:type="dxa"/>
                              </w:tcMar>
                              <w:hideMark/>
                            </w:tcPr>
                            <w:p w:rsidR="00DB615A" w:rsidRPr="00DB615A" w:rsidRDefault="00DB615A" w:rsidP="00DB615A">
                              <w:pPr>
                                <w:spacing w:after="0" w:line="270" w:lineRule="atLeast"/>
                                <w:rPr>
                                  <w:rFonts w:ascii="Verdana" w:eastAsia="Times New Roman" w:hAnsi="Verdana" w:cs="Times New Roman"/>
                                  <w:color w:val="000000"/>
                                  <w:sz w:val="18"/>
                                  <w:szCs w:val="18"/>
                                  <w:lang w:eastAsia="en-IE"/>
                                </w:rPr>
                              </w:pPr>
                              <w:hyperlink r:id="rId4" w:tgtFrame="_blank" w:history="1">
                                <w:r w:rsidRPr="00DB615A">
                                  <w:rPr>
                                    <w:rFonts w:ascii="Verdana" w:eastAsia="Times New Roman" w:hAnsi="Verdana" w:cs="Times New Roman"/>
                                    <w:color w:val="656565"/>
                                    <w:sz w:val="18"/>
                                    <w:szCs w:val="18"/>
                                    <w:u w:val="single"/>
                                    <w:lang w:eastAsia="en-IE"/>
                                  </w:rPr>
                                  <w:t>View this email in your browser</w:t>
                                </w:r>
                              </w:hyperlink>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jc w:val="center"/>
              <w:rPr>
                <w:rFonts w:ascii="Times New Roman" w:eastAsia="Times New Roman" w:hAnsi="Times New Roman" w:cs="Times New Roman"/>
                <w:color w:val="000000"/>
                <w:sz w:val="27"/>
                <w:szCs w:val="27"/>
                <w:lang w:eastAsia="en-IE"/>
              </w:rPr>
            </w:pPr>
          </w:p>
        </w:tc>
      </w:tr>
      <w:tr w:rsidR="00DB615A" w:rsidRPr="00DB615A" w:rsidTr="00DB615A">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DB615A" w:rsidRPr="00DB61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DB615A" w:rsidRPr="00DB615A">
                          <w:tc>
                            <w:tcPr>
                              <w:tcW w:w="0" w:type="auto"/>
                              <w:tcMar>
                                <w:top w:w="0" w:type="dxa"/>
                                <w:left w:w="135" w:type="dxa"/>
                                <w:bottom w:w="0" w:type="dxa"/>
                                <w:right w:w="0" w:type="dxa"/>
                              </w:tcMar>
                              <w:hideMark/>
                            </w:tcPr>
                            <w:p w:rsidR="00DB615A" w:rsidRPr="00DB615A" w:rsidRDefault="00DB615A" w:rsidP="00DB615A">
                              <w:pPr>
                                <w:spacing w:after="0" w:line="240" w:lineRule="auto"/>
                                <w:rPr>
                                  <w:rFonts w:ascii="Times New Roman" w:eastAsia="Times New Roman" w:hAnsi="Times New Roman" w:cs="Times New Roman"/>
                                  <w:sz w:val="24"/>
                                  <w:szCs w:val="24"/>
                                  <w:lang w:eastAsia="en-IE"/>
                                </w:rPr>
                              </w:pPr>
                              <w:r w:rsidRPr="00DB615A">
                                <w:rPr>
                                  <w:rFonts w:ascii="Times New Roman" w:eastAsia="Times New Roman" w:hAnsi="Times New Roman" w:cs="Times New Roman"/>
                                  <w:noProof/>
                                  <w:color w:val="0000FF"/>
                                  <w:sz w:val="24"/>
                                  <w:szCs w:val="24"/>
                                  <w:lang w:eastAsia="en-IE"/>
                                </w:rPr>
                                <w:drawing>
                                  <wp:inline distT="0" distB="0" distL="0" distR="0">
                                    <wp:extent cx="2514600" cy="2514600"/>
                                    <wp:effectExtent l="0" t="0" r="0" b="0"/>
                                    <wp:docPr id="9" name="Picture 9" descr="https://gallery.mailchimp.com/3a5ee1f509d4e65c78cfe6acf/images/041e71de-e9ea-4ad4-8b12-ef66c16337a7.jpg">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a5ee1f509d4e65c78cfe6acf/images/041e71de-e9ea-4ad4-8b12-ef66c16337a7.jpg">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DB615A" w:rsidRPr="00DB615A">
                          <w:tc>
                            <w:tcPr>
                              <w:tcW w:w="0" w:type="auto"/>
                              <w:tcMar>
                                <w:top w:w="0" w:type="dxa"/>
                                <w:left w:w="0" w:type="dxa"/>
                                <w:bottom w:w="0" w:type="dxa"/>
                                <w:right w:w="135" w:type="dxa"/>
                              </w:tcMar>
                              <w:hideMark/>
                            </w:tcPr>
                            <w:p w:rsidR="00DB615A" w:rsidRPr="00DB615A" w:rsidRDefault="00DB615A" w:rsidP="00DB615A">
                              <w:pPr>
                                <w:spacing w:after="0" w:line="240" w:lineRule="auto"/>
                                <w:rPr>
                                  <w:rFonts w:ascii="Times New Roman" w:eastAsia="Times New Roman" w:hAnsi="Times New Roman" w:cs="Times New Roman"/>
                                  <w:sz w:val="24"/>
                                  <w:szCs w:val="24"/>
                                  <w:lang w:eastAsia="en-IE"/>
                                </w:rPr>
                              </w:pPr>
                              <w:r w:rsidRPr="00DB615A">
                                <w:rPr>
                                  <w:rFonts w:ascii="Times New Roman" w:eastAsia="Times New Roman" w:hAnsi="Times New Roman" w:cs="Times New Roman"/>
                                  <w:noProof/>
                                  <w:color w:val="0000FF"/>
                                  <w:sz w:val="24"/>
                                  <w:szCs w:val="24"/>
                                  <w:lang w:eastAsia="en-IE"/>
                                </w:rPr>
                                <w:drawing>
                                  <wp:inline distT="0" distB="0" distL="0" distR="0">
                                    <wp:extent cx="2514600" cy="1885950"/>
                                    <wp:effectExtent l="0" t="0" r="0" b="0"/>
                                    <wp:docPr id="8" name="Picture 8" descr="https://gallery.mailchimp.com/3a5ee1f509d4e65c78cfe6acf/images/50669210-d9ee-4cfd-863c-57a0552b9549.pn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a5ee1f509d4e65c78cfe6acf/images/50669210-d9ee-4cfd-863c-57a0552b9549.png">
                                              <a:hlinkClick r:id="rId7" tgtFrame="&quot;_blank&quot;"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DB615A" w:rsidRPr="00DB615A">
                          <w:tc>
                            <w:tcPr>
                              <w:tcW w:w="0" w:type="auto"/>
                              <w:tcMar>
                                <w:top w:w="0" w:type="dxa"/>
                                <w:left w:w="135" w:type="dxa"/>
                                <w:bottom w:w="0" w:type="dxa"/>
                                <w:right w:w="135" w:type="dxa"/>
                              </w:tcMar>
                              <w:hideMark/>
                            </w:tcPr>
                            <w:p w:rsidR="00DB615A" w:rsidRPr="00DB615A" w:rsidRDefault="00DB615A" w:rsidP="00DB615A">
                              <w:pPr>
                                <w:spacing w:after="0" w:line="240" w:lineRule="auto"/>
                                <w:jc w:val="center"/>
                                <w:rPr>
                                  <w:rFonts w:ascii="Times New Roman" w:eastAsia="Times New Roman" w:hAnsi="Times New Roman" w:cs="Times New Roman"/>
                                  <w:sz w:val="24"/>
                                  <w:szCs w:val="24"/>
                                  <w:lang w:eastAsia="en-IE"/>
                                </w:rPr>
                              </w:pPr>
                              <w:r w:rsidRPr="00DB615A">
                                <w:rPr>
                                  <w:rFonts w:ascii="Times New Roman" w:eastAsia="Times New Roman" w:hAnsi="Times New Roman" w:cs="Times New Roman"/>
                                  <w:noProof/>
                                  <w:color w:val="0000FF"/>
                                  <w:sz w:val="24"/>
                                  <w:szCs w:val="24"/>
                                  <w:lang w:eastAsia="en-IE"/>
                                </w:rPr>
                                <w:drawing>
                                  <wp:inline distT="0" distB="0" distL="0" distR="0">
                                    <wp:extent cx="5372100" cy="3552825"/>
                                    <wp:effectExtent l="0" t="0" r="0" b="9525"/>
                                    <wp:docPr id="7" name="Picture 7" descr="https://gallery.mailchimp.com/3a5ee1f509d4e65c78cfe6acf/images/18c3cbbc-9900-4571-93a2-8959297c2160.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3a5ee1f509d4e65c78cfe6acf/images/18c3cbbc-9900-4571-93a2-8959297c2160.jpg">
                                              <a:hlinkClick r:id="rId7" tgtFrame="&quot;_blank&quot;"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3552825"/>
                                            </a:xfrm>
                                            <a:prstGeom prst="rect">
                                              <a:avLst/>
                                            </a:prstGeom>
                                            <a:noFill/>
                                            <a:ln>
                                              <a:noFill/>
                                            </a:ln>
                                          </pic:spPr>
                                        </pic:pic>
                                      </a:graphicData>
                                    </a:graphic>
                                  </wp:inline>
                                </w:drawing>
                              </w: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DB615A" w:rsidRPr="00DB615A">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DB615A" w:rsidRPr="00DB615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DB615A" w:rsidRPr="00DB615A" w:rsidTr="00DB615A">
                                      <w:trPr>
                                        <w:jc w:val="center"/>
                                      </w:trPr>
                                      <w:tc>
                                        <w:tcPr>
                                          <w:tcW w:w="0" w:type="auto"/>
                                        </w:tcPr>
                                        <w:p w:rsidR="00DB615A" w:rsidRPr="00DB615A" w:rsidRDefault="00DB615A" w:rsidP="00DB615A">
                                          <w:pPr>
                                            <w:spacing w:after="0" w:line="240" w:lineRule="auto"/>
                                            <w:jc w:val="center"/>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jc w:val="center"/>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jc w:val="center"/>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jc w:val="center"/>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0" w:type="dxa"/>
                                <w:left w:w="270" w:type="dxa"/>
                                <w:bottom w:w="135" w:type="dxa"/>
                                <w:right w:w="270" w:type="dxa"/>
                              </w:tcMar>
                              <w:hideMark/>
                            </w:tcPr>
                            <w:p w:rsidR="00DB615A" w:rsidRPr="00DB615A" w:rsidRDefault="00DB615A" w:rsidP="00DB615A">
                              <w:pPr>
                                <w:spacing w:after="0" w:line="270" w:lineRule="atLeast"/>
                                <w:rPr>
                                  <w:rFonts w:ascii="Arial" w:eastAsia="Times New Roman" w:hAnsi="Arial" w:cs="Arial"/>
                                  <w:color w:val="202020"/>
                                  <w:sz w:val="18"/>
                                  <w:szCs w:val="18"/>
                                  <w:lang w:eastAsia="en-IE"/>
                                </w:rPr>
                              </w:pPr>
                              <w:r w:rsidRPr="00DB615A">
                                <w:rPr>
                                  <w:rFonts w:ascii="Arial" w:eastAsia="Times New Roman" w:hAnsi="Arial" w:cs="Arial"/>
                                  <w:b/>
                                  <w:bCs/>
                                  <w:color w:val="202020"/>
                                  <w:sz w:val="18"/>
                                  <w:szCs w:val="18"/>
                                  <w:lang w:eastAsia="en-IE"/>
                                </w:rPr>
                                <w:t>Boston Consulting Group and NIBRT announce the Biopharma 4.0 Alliance for Digital Innovation in Operations</w:t>
                              </w:r>
                            </w:p>
                            <w:p w:rsidR="00DB615A" w:rsidRPr="00DB615A" w:rsidRDefault="00DB615A" w:rsidP="00DB615A">
                              <w:pPr>
                                <w:spacing w:after="0" w:line="270" w:lineRule="atLeast"/>
                                <w:jc w:val="center"/>
                                <w:rPr>
                                  <w:rFonts w:ascii="Arial" w:eastAsia="Times New Roman" w:hAnsi="Arial" w:cs="Arial"/>
                                  <w:color w:val="202020"/>
                                  <w:sz w:val="18"/>
                                  <w:szCs w:val="18"/>
                                  <w:lang w:eastAsia="en-IE"/>
                                </w:rPr>
                              </w:pPr>
                              <w:r w:rsidRPr="00DB615A">
                                <w:rPr>
                                  <w:rFonts w:ascii="Arial" w:eastAsia="Times New Roman" w:hAnsi="Arial" w:cs="Arial"/>
                                  <w:color w:val="202020"/>
                                  <w:sz w:val="18"/>
                                  <w:szCs w:val="18"/>
                                  <w:lang w:eastAsia="en-IE"/>
                                </w:rPr>
                                <w:br/>
                              </w:r>
                              <w:r w:rsidRPr="00DB615A">
                                <w:rPr>
                                  <w:rFonts w:ascii="Arial" w:eastAsia="Times New Roman" w:hAnsi="Arial" w:cs="Arial"/>
                                  <w:i/>
                                  <w:iCs/>
                                  <w:color w:val="202020"/>
                                  <w:sz w:val="18"/>
                                  <w:szCs w:val="18"/>
                                  <w:lang w:eastAsia="en-IE"/>
                                </w:rPr>
                                <w:t xml:space="preserve">The Alliance will develop and deploy Industry 4.0 technologies in order to deliver transformative benefits to </w:t>
                              </w:r>
                              <w:r w:rsidRPr="00DB615A">
                                <w:rPr>
                                  <w:rFonts w:ascii="Arial" w:eastAsia="Times New Roman" w:hAnsi="Arial" w:cs="Arial"/>
                                  <w:i/>
                                  <w:iCs/>
                                  <w:color w:val="202020"/>
                                  <w:sz w:val="18"/>
                                  <w:szCs w:val="18"/>
                                  <w:lang w:eastAsia="en-IE"/>
                                </w:rPr>
                                <w:lastRenderedPageBreak/>
                                <w:t>the operations of global biopharma manufacturing and related sectors.</w:t>
                              </w:r>
                              <w:r w:rsidRPr="00DB615A">
                                <w:rPr>
                                  <w:rFonts w:ascii="Arial" w:eastAsia="Times New Roman" w:hAnsi="Arial" w:cs="Arial"/>
                                  <w:color w:val="202020"/>
                                  <w:sz w:val="18"/>
                                  <w:szCs w:val="18"/>
                                  <w:lang w:eastAsia="en-IE"/>
                                </w:rPr>
                                <w:br/>
                                <w:t> </w:t>
                              </w:r>
                            </w:p>
                            <w:p w:rsidR="00DB615A" w:rsidRPr="00DB615A" w:rsidRDefault="00DB615A" w:rsidP="00DB615A">
                              <w:pPr>
                                <w:spacing w:after="0" w:line="270" w:lineRule="atLeast"/>
                                <w:rPr>
                                  <w:rFonts w:ascii="Arial" w:eastAsia="Times New Roman" w:hAnsi="Arial" w:cs="Arial"/>
                                  <w:color w:val="202020"/>
                                  <w:sz w:val="18"/>
                                  <w:szCs w:val="18"/>
                                  <w:lang w:eastAsia="en-IE"/>
                                </w:rPr>
                              </w:pPr>
                              <w:r w:rsidRPr="00DB615A">
                                <w:rPr>
                                  <w:rFonts w:ascii="Arial" w:eastAsia="Times New Roman" w:hAnsi="Arial" w:cs="Arial"/>
                                  <w:color w:val="202020"/>
                                  <w:sz w:val="18"/>
                                  <w:szCs w:val="18"/>
                                  <w:lang w:eastAsia="en-IE"/>
                                </w:rPr>
                                <w:t>DUBLIN, IRELAND, May 2nd 2019 – Boston Consulting Group (BCG) and National Institute for Bioprocessing Research and Training (NIBRT) are delighted to formally announce the creation of the Biopharma 4.0 (B4.0) Alliance for Digital Innovation in Operations.</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t>The Alliance, the first of its kind globally, is a unique collaboration between leading players in the biopharma industry such as Takeda, selected innovative technology providers and industry experts from BCG and NIBRT.</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t>The team has recently completed the B4.0 design blueprint, which lays out in detail the top 95 industry 4.0 use cases as applied to biopharma manufacturing. The blueprint outlines how biopharma companies can use cutting-edge technologies such as robotics, artificial intelligence and augmented reality to revolutionise manufacturing operations.</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t>The Alliance, formed in September 2018, will now move into the next phase, involving the build out of a physical “digital demonstrator” based in NIBRT’s Dublin facility.</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r>
                              <w:r w:rsidRPr="00DB615A">
                                <w:rPr>
                                  <w:rFonts w:ascii="Arial" w:eastAsia="Times New Roman" w:hAnsi="Arial" w:cs="Arial"/>
                                  <w:i/>
                                  <w:iCs/>
                                  <w:color w:val="202020"/>
                                  <w:sz w:val="18"/>
                                  <w:szCs w:val="18"/>
                                  <w:lang w:eastAsia="en-IE"/>
                                </w:rPr>
                                <w:t>“Industry 4.0 technologies have the potential to deliver transformative benefits to the biopharma industry. Building on the digital blueprint, the Biopharma 4.0 Alliance will provide a robust proof-of- concept for 4.0 technologies in NIBRT’s pilot plant facilities. In turn, this will support the optimal deployment of these technologies in biopharma manufacturing operations in Ireland and beyond”. </w:t>
                              </w:r>
                              <w:proofErr w:type="gramStart"/>
                              <w:r w:rsidRPr="00DB615A">
                                <w:rPr>
                                  <w:rFonts w:ascii="Arial" w:eastAsia="Times New Roman" w:hAnsi="Arial" w:cs="Arial"/>
                                  <w:color w:val="202020"/>
                                  <w:sz w:val="18"/>
                                  <w:szCs w:val="18"/>
                                  <w:lang w:eastAsia="en-IE"/>
                                </w:rPr>
                                <w:t>says</w:t>
                              </w:r>
                              <w:proofErr w:type="gramEnd"/>
                              <w:r w:rsidRPr="00DB615A">
                                <w:rPr>
                                  <w:rFonts w:ascii="Arial" w:eastAsia="Times New Roman" w:hAnsi="Arial" w:cs="Arial"/>
                                  <w:color w:val="202020"/>
                                  <w:sz w:val="18"/>
                                  <w:szCs w:val="18"/>
                                  <w:lang w:eastAsia="en-IE"/>
                                </w:rPr>
                                <w:t xml:space="preserve"> Killian O’Driscoll, Director of Projects at NIBRT.</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t>As biopharma manufacturing becomes increasingly complex, globalised, and more highly regulated, the sector must improve its operations to increase quality and supply performance, whilst reducing cost to the patient. In other industries (including aerospace, defence, automotive, and FMCG), the deployment of Industry 4.0 (I4.0) technologies has delivered huge benefits to manufacturing performance. However, biopharma is currently significantly behind other advanced manufacturing sectors in its adoption of disruptive technologies.</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t>The demonstrator will cover the latest I4.0 technologies in manufacturing, quality control, quality assurance and cross plant operations. These technologies will be seamlessly integrated with core operating processes to enable proof-of-concept studies on new innovations and new ways of working. Visitors to the centre will be able to experience and learn about these technologies, as well as pilot specific use-cases and co-develop I4.0 solutions with NIBRT &amp; BCG.</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t>“</w:t>
                              </w:r>
                              <w:r w:rsidRPr="00DB615A">
                                <w:rPr>
                                  <w:rFonts w:ascii="Arial" w:eastAsia="Times New Roman" w:hAnsi="Arial" w:cs="Arial"/>
                                  <w:i/>
                                  <w:iCs/>
                                  <w:color w:val="202020"/>
                                  <w:sz w:val="18"/>
                                  <w:szCs w:val="18"/>
                                  <w:lang w:eastAsia="en-IE"/>
                                </w:rPr>
                                <w:t>Takeda Dunboyne Biologics are delighted to be part of this digital demonstrator between NIBRT and BCG. As we build our new state of the art facility in County Meath, this alliance will help us in our Biopharma 4.0 journey to build the right capabilities using augmented reality to aid on demand 24/7 training</w:t>
                              </w:r>
                              <w:r w:rsidRPr="00DB615A">
                                <w:rPr>
                                  <w:rFonts w:ascii="Arial" w:eastAsia="Times New Roman" w:hAnsi="Arial" w:cs="Arial"/>
                                  <w:color w:val="202020"/>
                                  <w:sz w:val="18"/>
                                  <w:szCs w:val="18"/>
                                  <w:lang w:eastAsia="en-IE"/>
                                </w:rPr>
                                <w:t>”, comments Susan Hynes, VP &amp; Site Lead, Takeda Dunboyne Biologics.</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t xml:space="preserve">Commenting on the Alliance Paul Sweeney, COO, </w:t>
                              </w:r>
                              <w:proofErr w:type="spellStart"/>
                              <w:r w:rsidRPr="00DB615A">
                                <w:rPr>
                                  <w:rFonts w:ascii="Arial" w:eastAsia="Times New Roman" w:hAnsi="Arial" w:cs="Arial"/>
                                  <w:color w:val="202020"/>
                                  <w:sz w:val="18"/>
                                  <w:szCs w:val="18"/>
                                  <w:lang w:eastAsia="en-IE"/>
                                </w:rPr>
                                <w:t>Daqri</w:t>
                              </w:r>
                              <w:proofErr w:type="spellEnd"/>
                              <w:r w:rsidRPr="00DB615A">
                                <w:rPr>
                                  <w:rFonts w:ascii="Arial" w:eastAsia="Times New Roman" w:hAnsi="Arial" w:cs="Arial"/>
                                  <w:color w:val="202020"/>
                                  <w:sz w:val="18"/>
                                  <w:szCs w:val="18"/>
                                  <w:lang w:eastAsia="en-IE"/>
                                </w:rPr>
                                <w:t>, the global leader in Professional Grade</w:t>
                              </w:r>
                              <w:proofErr w:type="gramStart"/>
                              <w:r w:rsidRPr="00DB615A">
                                <w:rPr>
                                  <w:rFonts w:ascii="Arial" w:eastAsia="Times New Roman" w:hAnsi="Arial" w:cs="Arial"/>
                                  <w:color w:val="202020"/>
                                  <w:sz w:val="18"/>
                                  <w:szCs w:val="18"/>
                                  <w:lang w:eastAsia="en-IE"/>
                                </w:rPr>
                                <w:t>  Augmented</w:t>
                              </w:r>
                              <w:proofErr w:type="gramEnd"/>
                              <w:r w:rsidRPr="00DB615A">
                                <w:rPr>
                                  <w:rFonts w:ascii="Arial" w:eastAsia="Times New Roman" w:hAnsi="Arial" w:cs="Arial"/>
                                  <w:color w:val="202020"/>
                                  <w:sz w:val="18"/>
                                  <w:szCs w:val="18"/>
                                  <w:lang w:eastAsia="en-IE"/>
                                </w:rPr>
                                <w:t xml:space="preserve"> Reality, says </w:t>
                              </w:r>
                              <w:r w:rsidRPr="00DB615A">
                                <w:rPr>
                                  <w:rFonts w:ascii="Arial" w:eastAsia="Times New Roman" w:hAnsi="Arial" w:cs="Arial"/>
                                  <w:i/>
                                  <w:iCs/>
                                  <w:color w:val="202020"/>
                                  <w:sz w:val="18"/>
                                  <w:szCs w:val="18"/>
                                  <w:lang w:eastAsia="en-IE"/>
                                </w:rPr>
                                <w:t>“We are very excited to be part of this this ground-breaking Alliance, and to collaborate with NIBRT and BCG to explore and showcase applications of our Augmented Reality based, Industry 4.0 tools in the biopharma sector.”</w:t>
                              </w:r>
                              <w:r w:rsidRPr="00DB615A">
                                <w:rPr>
                                  <w:rFonts w:ascii="Arial" w:eastAsia="Times New Roman" w:hAnsi="Arial" w:cs="Arial"/>
                                  <w:color w:val="202020"/>
                                  <w:sz w:val="18"/>
                                  <w:szCs w:val="18"/>
                                  <w:lang w:eastAsia="en-IE"/>
                                </w:rPr>
                                <w:br/>
                                <w:t> </w:t>
                              </w:r>
                              <w:r w:rsidRPr="00DB615A">
                                <w:rPr>
                                  <w:rFonts w:ascii="Arial" w:eastAsia="Times New Roman" w:hAnsi="Arial" w:cs="Arial"/>
                                  <w:color w:val="202020"/>
                                  <w:sz w:val="18"/>
                                  <w:szCs w:val="18"/>
                                  <w:lang w:eastAsia="en-IE"/>
                                </w:rPr>
                                <w:br/>
                              </w:r>
                              <w:r w:rsidRPr="00DB615A">
                                <w:rPr>
                                  <w:rFonts w:ascii="Arial" w:eastAsia="Times New Roman" w:hAnsi="Arial" w:cs="Arial"/>
                                  <w:i/>
                                  <w:iCs/>
                                  <w:color w:val="202020"/>
                                  <w:sz w:val="18"/>
                                  <w:szCs w:val="18"/>
                                  <w:lang w:eastAsia="en-IE"/>
                                </w:rPr>
                                <w:t xml:space="preserve">“The Biopharma 4.0 alliance is a core part of BCG’s strategy to lead the way in how Industry 4.0 technologies can be applied in biopharma. We believe there is a once in a generation opportunity to create a step change in biopharma manufacturing performance through smarter adoption of disruptive Industry </w:t>
                              </w:r>
                              <w:r w:rsidRPr="00DB615A">
                                <w:rPr>
                                  <w:rFonts w:ascii="Arial" w:eastAsia="Times New Roman" w:hAnsi="Arial" w:cs="Arial"/>
                                  <w:i/>
                                  <w:iCs/>
                                  <w:color w:val="202020"/>
                                  <w:sz w:val="18"/>
                                  <w:szCs w:val="18"/>
                                  <w:lang w:eastAsia="en-IE"/>
                                </w:rPr>
                                <w:lastRenderedPageBreak/>
                                <w:t>4.0 technologies,” </w:t>
                              </w:r>
                              <w:r w:rsidRPr="00DB615A">
                                <w:rPr>
                                  <w:rFonts w:ascii="Arial" w:eastAsia="Times New Roman" w:hAnsi="Arial" w:cs="Arial"/>
                                  <w:color w:val="202020"/>
                                  <w:sz w:val="18"/>
                                  <w:szCs w:val="18"/>
                                  <w:lang w:eastAsia="en-IE"/>
                                </w:rPr>
                                <w:t>says Frank Cordes, BCG Partner and Operations practice lead for Western Europe. </w:t>
                              </w:r>
                              <w:r w:rsidRPr="00DB615A">
                                <w:rPr>
                                  <w:rFonts w:ascii="Arial" w:eastAsia="Times New Roman" w:hAnsi="Arial" w:cs="Arial"/>
                                  <w:i/>
                                  <w:iCs/>
                                  <w:color w:val="202020"/>
                                  <w:sz w:val="18"/>
                                  <w:szCs w:val="18"/>
                                  <w:lang w:eastAsia="en-IE"/>
                                </w:rPr>
                                <w:t>“The Alliance and resulting digital demonstrator provide the platform, capabilities and expertise that our clients require to deliver this.”</w:t>
                              </w:r>
                              <w:r w:rsidRPr="00DB615A">
                                <w:rPr>
                                  <w:rFonts w:ascii="Arial" w:eastAsia="Times New Roman" w:hAnsi="Arial" w:cs="Arial"/>
                                  <w:color w:val="202020"/>
                                  <w:sz w:val="18"/>
                                  <w:szCs w:val="18"/>
                                  <w:lang w:eastAsia="en-IE"/>
                                </w:rPr>
                                <w:br/>
                              </w:r>
                              <w:r w:rsidRPr="00DB615A">
                                <w:rPr>
                                  <w:rFonts w:ascii="Arial" w:eastAsia="Times New Roman" w:hAnsi="Arial" w:cs="Arial"/>
                                  <w:color w:val="202020"/>
                                  <w:sz w:val="18"/>
                                  <w:szCs w:val="18"/>
                                  <w:lang w:eastAsia="en-IE"/>
                                </w:rPr>
                                <w:br/>
                                <w:t>ENDS</w:t>
                              </w:r>
                            </w:p>
                            <w:p w:rsidR="00DB615A" w:rsidRPr="00DB615A" w:rsidRDefault="00DB615A" w:rsidP="00DB615A">
                              <w:pPr>
                                <w:spacing w:after="0" w:line="270" w:lineRule="atLeast"/>
                                <w:jc w:val="center"/>
                                <w:rPr>
                                  <w:rFonts w:ascii="Arial" w:eastAsia="Times New Roman" w:hAnsi="Arial" w:cs="Arial"/>
                                  <w:color w:val="202020"/>
                                  <w:sz w:val="18"/>
                                  <w:szCs w:val="18"/>
                                  <w:lang w:eastAsia="en-IE"/>
                                </w:rPr>
                              </w:pPr>
                              <w:r w:rsidRPr="00DB615A">
                                <w:rPr>
                                  <w:rFonts w:ascii="Arial" w:eastAsia="Times New Roman" w:hAnsi="Arial" w:cs="Arial"/>
                                  <w:color w:val="202020"/>
                                  <w:sz w:val="18"/>
                                  <w:szCs w:val="18"/>
                                  <w:lang w:eastAsia="en-IE"/>
                                </w:rPr>
                                <w:t> </w:t>
                              </w:r>
                            </w:p>
                            <w:p w:rsidR="00DB615A" w:rsidRPr="00DB615A" w:rsidRDefault="00DB615A" w:rsidP="00DB615A">
                              <w:pPr>
                                <w:spacing w:after="0" w:line="270" w:lineRule="atLeast"/>
                                <w:rPr>
                                  <w:rFonts w:ascii="Arial" w:eastAsia="Times New Roman" w:hAnsi="Arial" w:cs="Arial"/>
                                  <w:color w:val="202020"/>
                                  <w:sz w:val="18"/>
                                  <w:szCs w:val="18"/>
                                  <w:lang w:eastAsia="en-IE"/>
                                </w:rPr>
                              </w:pPr>
                              <w:r w:rsidRPr="00DB615A">
                                <w:rPr>
                                  <w:rFonts w:ascii="Arial" w:eastAsia="Times New Roman" w:hAnsi="Arial" w:cs="Arial"/>
                                  <w:i/>
                                  <w:iCs/>
                                  <w:color w:val="000000"/>
                                  <w:sz w:val="17"/>
                                  <w:szCs w:val="17"/>
                                  <w:lang w:eastAsia="en-IE"/>
                                </w:rPr>
                                <w:t>(</w:t>
                              </w:r>
                              <w:r w:rsidRPr="00DB615A">
                                <w:rPr>
                                  <w:rFonts w:ascii="Arial" w:eastAsia="Times New Roman" w:hAnsi="Arial" w:cs="Arial"/>
                                  <w:color w:val="000000"/>
                                  <w:sz w:val="17"/>
                                  <w:szCs w:val="17"/>
                                  <w:lang w:eastAsia="en-IE"/>
                                </w:rPr>
                                <w:t>Pictured; (left to right), </w:t>
                              </w:r>
                              <w:r w:rsidRPr="00DB615A">
                                <w:rPr>
                                  <w:rFonts w:ascii="Arial" w:eastAsia="Times New Roman" w:hAnsi="Arial" w:cs="Arial"/>
                                  <w:i/>
                                  <w:iCs/>
                                  <w:color w:val="202020"/>
                                  <w:sz w:val="17"/>
                                  <w:szCs w:val="17"/>
                                  <w:lang w:eastAsia="en-IE"/>
                                </w:rPr>
                                <w:t>Aoife Barron (NIBRT), James Morton (BCG), Susan Hynes (Takeda Dunboyne Biologics), Killian O’Driscoll (NIBRT) at the launch of the Biopharma 4.0 Alliance</w:t>
                              </w: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jc w:val="center"/>
              <w:rPr>
                <w:rFonts w:ascii="Times New Roman" w:eastAsia="Times New Roman" w:hAnsi="Times New Roman" w:cs="Times New Roman"/>
                <w:color w:val="000000"/>
                <w:sz w:val="27"/>
                <w:szCs w:val="27"/>
                <w:lang w:eastAsia="en-IE"/>
              </w:rPr>
            </w:pPr>
          </w:p>
        </w:tc>
        <w:bookmarkStart w:id="0" w:name="_GoBack"/>
        <w:bookmarkEnd w:id="0"/>
      </w:tr>
      <w:tr w:rsidR="00DB615A" w:rsidRPr="00DB615A" w:rsidTr="00DB615A">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DB615A" w:rsidRPr="00DB615A">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486"/>
                        </w:tblGrid>
                        <w:tr w:rsidR="00DB615A" w:rsidRPr="00DB615A">
                          <w:tc>
                            <w:tcPr>
                              <w:tcW w:w="0" w:type="auto"/>
                              <w:shd w:val="clear" w:color="auto" w:fill="FFFFFF"/>
                              <w:hideMark/>
                            </w:tcPr>
                            <w:p w:rsidR="00DB615A" w:rsidRPr="00DB615A" w:rsidRDefault="00DB615A" w:rsidP="00DB615A">
                              <w:pPr>
                                <w:spacing w:after="0" w:line="240" w:lineRule="auto"/>
                                <w:jc w:val="center"/>
                                <w:rPr>
                                  <w:rFonts w:ascii="Times New Roman" w:eastAsia="Times New Roman" w:hAnsi="Times New Roman" w:cs="Times New Roman"/>
                                  <w:sz w:val="24"/>
                                  <w:szCs w:val="24"/>
                                  <w:lang w:eastAsia="en-IE"/>
                                </w:rPr>
                              </w:pPr>
                              <w:r w:rsidRPr="00DB615A">
                                <w:rPr>
                                  <w:rFonts w:ascii="Times New Roman" w:eastAsia="Times New Roman" w:hAnsi="Times New Roman" w:cs="Times New Roman"/>
                                  <w:noProof/>
                                  <w:color w:val="0000FF"/>
                                  <w:sz w:val="24"/>
                                  <w:szCs w:val="24"/>
                                  <w:lang w:eastAsia="en-IE"/>
                                </w:rPr>
                                <w:lastRenderedPageBreak/>
                                <w:drawing>
                                  <wp:inline distT="0" distB="0" distL="0" distR="0">
                                    <wp:extent cx="4572000" cy="3429000"/>
                                    <wp:effectExtent l="0" t="0" r="0" b="0"/>
                                    <wp:docPr id="1" name="Picture 1" descr="https://gallery.mailchimp.com/video_thumbnails_new/f41778db711e0e42ae1566e85016467b.png">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video_thumbnails_new/f41778db711e0e42ae1566e85016467b.png">
                                              <a:hlinkClick r:id="rId10" tgtFrame="&quot;&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tc>
                        </w:tr>
                        <w:tr w:rsidR="00DB615A" w:rsidRPr="00DB615A">
                          <w:tc>
                            <w:tcPr>
                              <w:tcW w:w="8190" w:type="dxa"/>
                              <w:shd w:val="clear" w:color="auto" w:fill="FFFFFF"/>
                              <w:tcMar>
                                <w:top w:w="135" w:type="dxa"/>
                                <w:left w:w="270" w:type="dxa"/>
                                <w:bottom w:w="135" w:type="dxa"/>
                                <w:right w:w="270" w:type="dxa"/>
                              </w:tcMar>
                              <w:hideMark/>
                            </w:tcPr>
                            <w:p w:rsidR="00DB615A" w:rsidRPr="00DB615A" w:rsidRDefault="00DB615A" w:rsidP="00DB615A">
                              <w:pPr>
                                <w:spacing w:after="0" w:line="315" w:lineRule="atLeast"/>
                                <w:jc w:val="center"/>
                                <w:rPr>
                                  <w:rFonts w:ascii="Helvetica" w:eastAsia="Times New Roman" w:hAnsi="Helvetica" w:cs="Helvetica"/>
                                  <w:color w:val="F2F2F2"/>
                                  <w:sz w:val="21"/>
                                  <w:szCs w:val="21"/>
                                  <w:lang w:eastAsia="en-IE"/>
                                </w:rPr>
                              </w:pPr>
                              <w:r w:rsidRPr="00DB615A">
                                <w:rPr>
                                  <w:rFonts w:ascii="Helvetica" w:eastAsia="Times New Roman" w:hAnsi="Helvetica" w:cs="Helvetica"/>
                                  <w:b/>
                                  <w:bCs/>
                                  <w:color w:val="000000"/>
                                  <w:sz w:val="21"/>
                                  <w:szCs w:val="21"/>
                                  <w:lang w:eastAsia="en-IE"/>
                                </w:rPr>
                                <w:t>Biopharma 4.0 Alliance </w:t>
                              </w: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DB615A" w:rsidRPr="00DB615A">
                                <w:tc>
                                  <w:tcPr>
                                    <w:tcW w:w="0" w:type="auto"/>
                                    <w:shd w:val="clear" w:color="auto" w:fill="FFFFFF"/>
                                    <w:tcMar>
                                      <w:top w:w="270" w:type="dxa"/>
                                      <w:left w:w="270" w:type="dxa"/>
                                      <w:bottom w:w="270" w:type="dxa"/>
                                      <w:right w:w="270" w:type="dxa"/>
                                    </w:tcMar>
                                    <w:hideMark/>
                                  </w:tcPr>
                                  <w:p w:rsidR="00DB615A" w:rsidRPr="00DB615A" w:rsidRDefault="00DB615A" w:rsidP="00DB615A">
                                    <w:pPr>
                                      <w:spacing w:after="0" w:line="315" w:lineRule="atLeast"/>
                                      <w:rPr>
                                        <w:rFonts w:ascii="Helvetica" w:eastAsia="Times New Roman" w:hAnsi="Helvetica" w:cs="Helvetica"/>
                                        <w:color w:val="F2F2F2"/>
                                        <w:sz w:val="21"/>
                                        <w:szCs w:val="21"/>
                                        <w:lang w:eastAsia="en-IE"/>
                                      </w:rPr>
                                    </w:pPr>
                                    <w:r w:rsidRPr="00DB615A">
                                      <w:rPr>
                                        <w:rFonts w:ascii="Arial" w:eastAsia="Times New Roman" w:hAnsi="Arial" w:cs="Arial"/>
                                        <w:b/>
                                        <w:bCs/>
                                        <w:color w:val="000000"/>
                                        <w:sz w:val="17"/>
                                        <w:szCs w:val="17"/>
                                        <w:lang w:eastAsia="en-IE"/>
                                      </w:rPr>
                                      <w:t>About NIBRT</w:t>
                                    </w:r>
                                    <w:r w:rsidRPr="00DB615A">
                                      <w:rPr>
                                        <w:rFonts w:ascii="Helvetica" w:eastAsia="Times New Roman" w:hAnsi="Helvetica" w:cs="Helvetica"/>
                                        <w:color w:val="F2F2F2"/>
                                        <w:sz w:val="17"/>
                                        <w:szCs w:val="17"/>
                                        <w:lang w:eastAsia="en-IE"/>
                                      </w:rPr>
                                      <w:br/>
                                    </w:r>
                                    <w:r w:rsidRPr="00DB615A">
                                      <w:rPr>
                                        <w:rFonts w:ascii="Helvetica" w:eastAsia="Times New Roman" w:hAnsi="Helvetica" w:cs="Helvetica"/>
                                        <w:color w:val="000000"/>
                                        <w:sz w:val="17"/>
                                        <w:szCs w:val="17"/>
                                        <w:lang w:eastAsia="en-IE"/>
                                      </w:rPr>
                                      <w:t>The National Institute for Bioprocessing Research and Training (NIBRT) is a global centre of excellence for training and research in biopharmaceutical manufacturing. NIBRT is located in a world class facility in Dublin, Ireland. This facility is purpose built to closely replicate a modern bioprocessing plant with state-of the art equipment and enables NIBRT to offer the highest quality training and research solutions. NIBRT's mission is to support the growth and development of all aspects of the biopharmaceutical manufacturing industry.</w:t>
                                    </w:r>
                                    <w:r w:rsidRPr="00DB615A">
                                      <w:rPr>
                                        <w:rFonts w:ascii="Helvetica" w:eastAsia="Times New Roman" w:hAnsi="Helvetica" w:cs="Helvetica"/>
                                        <w:color w:val="000000"/>
                                        <w:sz w:val="17"/>
                                        <w:szCs w:val="17"/>
                                        <w:lang w:eastAsia="en-IE"/>
                                      </w:rPr>
                                      <w:br/>
                                    </w:r>
                                    <w:r w:rsidRPr="00DB615A">
                                      <w:rPr>
                                        <w:rFonts w:ascii="Helvetica" w:eastAsia="Times New Roman" w:hAnsi="Helvetica" w:cs="Helvetica"/>
                                        <w:color w:val="000000"/>
                                        <w:sz w:val="17"/>
                                        <w:szCs w:val="17"/>
                                        <w:lang w:eastAsia="en-IE"/>
                                      </w:rPr>
                                      <w:br/>
                                      <w:t>NIBRT Marketing and Communications Manager </w:t>
                                    </w:r>
                                    <w:hyperlink r:id="rId12" w:history="1">
                                      <w:r w:rsidRPr="00DB615A">
                                        <w:rPr>
                                          <w:rFonts w:ascii="Helvetica" w:eastAsia="Times New Roman" w:hAnsi="Helvetica" w:cs="Helvetica"/>
                                          <w:color w:val="000000"/>
                                          <w:sz w:val="17"/>
                                          <w:szCs w:val="17"/>
                                          <w:u w:val="single"/>
                                          <w:lang w:eastAsia="en-IE"/>
                                        </w:rPr>
                                        <w:t>alison.quinn@nibrt.ie</w:t>
                                      </w:r>
                                    </w:hyperlink>
                                    <w:r w:rsidRPr="00DB615A">
                                      <w:rPr>
                                        <w:rFonts w:ascii="Helvetica" w:eastAsia="Times New Roman" w:hAnsi="Helvetica" w:cs="Helvetica"/>
                                        <w:color w:val="F2F2F2"/>
                                        <w:sz w:val="17"/>
                                        <w:szCs w:val="17"/>
                                        <w:lang w:eastAsia="en-IE"/>
                                      </w:rPr>
                                      <w:br/>
                                    </w:r>
                                    <w:r w:rsidRPr="00DB615A">
                                      <w:rPr>
                                        <w:rFonts w:ascii="Helvetica" w:eastAsia="Times New Roman" w:hAnsi="Helvetica" w:cs="Helvetica"/>
                                        <w:color w:val="000000"/>
                                        <w:sz w:val="17"/>
                                        <w:szCs w:val="17"/>
                                        <w:lang w:eastAsia="en-IE"/>
                                      </w:rPr>
                                      <w:t>+353 1 215 8100</w:t>
                                    </w: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DB615A" w:rsidRPr="00DB615A">
                                <w:tc>
                                  <w:tcPr>
                                    <w:tcW w:w="0" w:type="auto"/>
                                    <w:shd w:val="clear" w:color="auto" w:fill="FFFFFF"/>
                                    <w:tcMar>
                                      <w:top w:w="270" w:type="dxa"/>
                                      <w:left w:w="270" w:type="dxa"/>
                                      <w:bottom w:w="270" w:type="dxa"/>
                                      <w:right w:w="270" w:type="dxa"/>
                                    </w:tcMar>
                                    <w:hideMark/>
                                  </w:tcPr>
                                  <w:p w:rsidR="00DB615A" w:rsidRPr="00DB615A" w:rsidRDefault="00DB615A" w:rsidP="00DB615A">
                                    <w:pPr>
                                      <w:spacing w:after="0" w:line="315" w:lineRule="atLeast"/>
                                      <w:rPr>
                                        <w:rFonts w:ascii="Helvetica" w:eastAsia="Times New Roman" w:hAnsi="Helvetica" w:cs="Helvetica"/>
                                        <w:color w:val="F2F2F2"/>
                                        <w:sz w:val="21"/>
                                        <w:szCs w:val="21"/>
                                        <w:lang w:eastAsia="en-IE"/>
                                      </w:rPr>
                                    </w:pPr>
                                    <w:r w:rsidRPr="00DB615A">
                                      <w:rPr>
                                        <w:rFonts w:ascii="Arial" w:eastAsia="Times New Roman" w:hAnsi="Arial" w:cs="Arial"/>
                                        <w:b/>
                                        <w:bCs/>
                                        <w:color w:val="000000"/>
                                        <w:sz w:val="17"/>
                                        <w:szCs w:val="17"/>
                                        <w:lang w:eastAsia="en-IE"/>
                                      </w:rPr>
                                      <w:lastRenderedPageBreak/>
                                      <w:t>About </w:t>
                                    </w:r>
                                    <w:r w:rsidRPr="00DB615A">
                                      <w:rPr>
                                        <w:rFonts w:ascii="Helvetica" w:eastAsia="Times New Roman" w:hAnsi="Helvetica" w:cs="Helvetica"/>
                                        <w:b/>
                                        <w:bCs/>
                                        <w:color w:val="000000"/>
                                        <w:sz w:val="17"/>
                                        <w:szCs w:val="17"/>
                                        <w:lang w:eastAsia="en-IE"/>
                                      </w:rPr>
                                      <w:t> Boston Consulting Group</w:t>
                                    </w:r>
                                  </w:p>
                                  <w:p w:rsidR="00DB615A" w:rsidRPr="00DB615A" w:rsidRDefault="00DB615A" w:rsidP="00DB615A">
                                    <w:pPr>
                                      <w:spacing w:after="0" w:line="315" w:lineRule="atLeast"/>
                                      <w:rPr>
                                        <w:rFonts w:ascii="Helvetica" w:eastAsia="Times New Roman" w:hAnsi="Helvetica" w:cs="Helvetica"/>
                                        <w:color w:val="F2F2F2"/>
                                        <w:sz w:val="21"/>
                                        <w:szCs w:val="21"/>
                                        <w:lang w:eastAsia="en-IE"/>
                                      </w:rPr>
                                    </w:pPr>
                                    <w:r w:rsidRPr="00DB615A">
                                      <w:rPr>
                                        <w:rFonts w:ascii="Helvetica" w:eastAsia="Times New Roman" w:hAnsi="Helvetica" w:cs="Helvetica"/>
                                        <w:color w:val="000000"/>
                                        <w:sz w:val="17"/>
                                        <w:szCs w:val="17"/>
                                        <w:lang w:eastAsia="en-IE"/>
                                      </w:rPr>
                                      <w:t>Boston Consulting Group (BCG) is a global management consulting firm and the world's leading advisor on business strategy. We partner with clients from the private, public, and not-for-profit sectors in all regions to identify their highest-value opportunities, address their most critical</w:t>
                                    </w:r>
                                  </w:p>
                                  <w:p w:rsidR="00DB615A" w:rsidRPr="00DB615A" w:rsidRDefault="00DB615A" w:rsidP="00DB615A">
                                    <w:pPr>
                                      <w:spacing w:after="0" w:line="315" w:lineRule="atLeast"/>
                                      <w:rPr>
                                        <w:rFonts w:ascii="Helvetica" w:eastAsia="Times New Roman" w:hAnsi="Helvetica" w:cs="Helvetica"/>
                                        <w:color w:val="F2F2F2"/>
                                        <w:sz w:val="21"/>
                                        <w:szCs w:val="21"/>
                                        <w:lang w:eastAsia="en-IE"/>
                                      </w:rPr>
                                    </w:pPr>
                                    <w:r w:rsidRPr="00DB615A">
                                      <w:rPr>
                                        <w:rFonts w:ascii="Helvetica" w:eastAsia="Times New Roman" w:hAnsi="Helvetica" w:cs="Helvetica"/>
                                        <w:color w:val="F2F2F2"/>
                                        <w:sz w:val="21"/>
                                        <w:szCs w:val="21"/>
                                        <w:lang w:eastAsia="en-IE"/>
                                      </w:rPr>
                                      <w:br w:type="textWrapping" w:clear="all"/>
                                    </w:r>
                                    <w:proofErr w:type="gramStart"/>
                                    <w:r w:rsidRPr="00DB615A">
                                      <w:rPr>
                                        <w:rFonts w:ascii="Helvetica" w:eastAsia="Times New Roman" w:hAnsi="Helvetica" w:cs="Helvetica"/>
                                        <w:color w:val="000000"/>
                                        <w:sz w:val="17"/>
                                        <w:szCs w:val="17"/>
                                        <w:lang w:eastAsia="en-IE"/>
                                      </w:rPr>
                                      <w:t>challenges</w:t>
                                    </w:r>
                                    <w:proofErr w:type="gramEnd"/>
                                    <w:r w:rsidRPr="00DB615A">
                                      <w:rPr>
                                        <w:rFonts w:ascii="Helvetica" w:eastAsia="Times New Roman" w:hAnsi="Helvetica" w:cs="Helvetica"/>
                                        <w:color w:val="000000"/>
                                        <w:sz w:val="17"/>
                                        <w:szCs w:val="17"/>
                                        <w:lang w:eastAsia="en-IE"/>
                                      </w:rPr>
                                      <w:t>, and transform their enterprises. Our customized approach combines deep insight into the dynamics of companies and markets with close collaboration at all levels of the client organization. This ensures that our clients achieve sustainable competitive advantage, build more capable organizations, and secure lasting results. Founded in 1963, BCG is a private company with offices in more than 90 cities in 50 countries. For more information, please visit </w:t>
                                    </w:r>
                                    <w:hyperlink r:id="rId13" w:history="1">
                                      <w:r w:rsidRPr="00DB615A">
                                        <w:rPr>
                                          <w:rFonts w:ascii="Helvetica" w:eastAsia="Times New Roman" w:hAnsi="Helvetica" w:cs="Helvetica"/>
                                          <w:color w:val="000000"/>
                                          <w:sz w:val="17"/>
                                          <w:szCs w:val="17"/>
                                          <w:u w:val="single"/>
                                          <w:lang w:eastAsia="en-IE"/>
                                        </w:rPr>
                                        <w:t>www.bcg.com</w:t>
                                      </w:r>
                                    </w:hyperlink>
                                    <w:r w:rsidRPr="00DB615A">
                                      <w:rPr>
                                        <w:rFonts w:ascii="Helvetica" w:eastAsia="Times New Roman" w:hAnsi="Helvetica" w:cs="Helvetica"/>
                                        <w:color w:val="F2F2F2"/>
                                        <w:sz w:val="17"/>
                                        <w:szCs w:val="17"/>
                                        <w:lang w:eastAsia="en-IE"/>
                                      </w:rPr>
                                      <w:br/>
                                    </w:r>
                                    <w:r w:rsidRPr="00DB615A">
                                      <w:rPr>
                                        <w:rFonts w:ascii="Helvetica" w:eastAsia="Times New Roman" w:hAnsi="Helvetica" w:cs="Helvetica"/>
                                        <w:color w:val="F2F2F2"/>
                                        <w:sz w:val="17"/>
                                        <w:szCs w:val="17"/>
                                        <w:lang w:eastAsia="en-IE"/>
                                      </w:rPr>
                                      <w:br/>
                                    </w:r>
                                    <w:r w:rsidRPr="00DB615A">
                                      <w:rPr>
                                        <w:rFonts w:ascii="Helvetica" w:eastAsia="Times New Roman" w:hAnsi="Helvetica" w:cs="Helvetica"/>
                                        <w:color w:val="000000"/>
                                        <w:sz w:val="17"/>
                                        <w:szCs w:val="17"/>
                                        <w:lang w:eastAsia="en-IE"/>
                                      </w:rPr>
                                      <w:t>Press enquiries: Rebecca Cummins, BCG UK Senior PR Coordinator </w:t>
                                    </w:r>
                                    <w:hyperlink r:id="rId14" w:history="1">
                                      <w:r w:rsidRPr="00DB615A">
                                        <w:rPr>
                                          <w:rFonts w:ascii="Helvetica" w:eastAsia="Times New Roman" w:hAnsi="Helvetica" w:cs="Helvetica"/>
                                          <w:color w:val="000000"/>
                                          <w:sz w:val="17"/>
                                          <w:szCs w:val="17"/>
                                          <w:u w:val="single"/>
                                          <w:lang w:eastAsia="en-IE"/>
                                        </w:rPr>
                                        <w:t>cummins.rebecca@bcg.com</w:t>
                                      </w:r>
                                    </w:hyperlink>
                                    <w:r w:rsidRPr="00DB615A">
                                      <w:rPr>
                                        <w:rFonts w:ascii="Helvetica" w:eastAsia="Times New Roman" w:hAnsi="Helvetica" w:cs="Helvetica"/>
                                        <w:color w:val="F2F2F2"/>
                                        <w:sz w:val="17"/>
                                        <w:szCs w:val="17"/>
                                        <w:lang w:eastAsia="en-IE"/>
                                      </w:rPr>
                                      <w:br/>
                                    </w:r>
                                    <w:r w:rsidRPr="00DB615A">
                                      <w:rPr>
                                        <w:rFonts w:ascii="Helvetica" w:eastAsia="Times New Roman" w:hAnsi="Helvetica" w:cs="Helvetica"/>
                                        <w:color w:val="000000"/>
                                        <w:sz w:val="17"/>
                                        <w:szCs w:val="17"/>
                                        <w:lang w:eastAsia="en-IE"/>
                                      </w:rPr>
                                      <w:t>+44 207 753 8383</w:t>
                                    </w:r>
                                    <w:r w:rsidRPr="00DB615A">
                                      <w:rPr>
                                        <w:rFonts w:ascii="Helvetica" w:eastAsia="Times New Roman" w:hAnsi="Helvetica" w:cs="Helvetica"/>
                                        <w:color w:val="F2F2F2"/>
                                        <w:sz w:val="21"/>
                                        <w:szCs w:val="21"/>
                                        <w:lang w:eastAsia="en-IE"/>
                                      </w:rPr>
                                      <w:br/>
                                      <w:t> </w:t>
                                    </w: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DB615A" w:rsidRPr="00DB615A">
                                <w:tc>
                                  <w:tcPr>
                                    <w:tcW w:w="0" w:type="auto"/>
                                    <w:shd w:val="clear" w:color="auto" w:fill="FFFFFF"/>
                                    <w:tcMar>
                                      <w:top w:w="270" w:type="dxa"/>
                                      <w:left w:w="270" w:type="dxa"/>
                                      <w:bottom w:w="270" w:type="dxa"/>
                                      <w:right w:w="270" w:type="dxa"/>
                                    </w:tcMar>
                                    <w:hideMark/>
                                  </w:tcPr>
                                  <w:p w:rsidR="00DB615A" w:rsidRPr="00DB615A" w:rsidRDefault="00DB615A" w:rsidP="00DB615A">
                                    <w:pPr>
                                      <w:spacing w:after="0" w:line="315" w:lineRule="atLeast"/>
                                      <w:rPr>
                                        <w:rFonts w:ascii="Helvetica" w:eastAsia="Times New Roman" w:hAnsi="Helvetica" w:cs="Helvetica"/>
                                        <w:color w:val="F2F2F2"/>
                                        <w:sz w:val="21"/>
                                        <w:szCs w:val="21"/>
                                        <w:lang w:eastAsia="en-IE"/>
                                      </w:rPr>
                                    </w:pPr>
                                    <w:r w:rsidRPr="00DB615A">
                                      <w:rPr>
                                        <w:rFonts w:ascii="Arial" w:eastAsia="Times New Roman" w:hAnsi="Arial" w:cs="Arial"/>
                                        <w:b/>
                                        <w:bCs/>
                                        <w:color w:val="000000"/>
                                        <w:sz w:val="17"/>
                                        <w:szCs w:val="17"/>
                                        <w:lang w:eastAsia="en-IE"/>
                                      </w:rPr>
                                      <w:t>About </w:t>
                                    </w:r>
                                    <w:r w:rsidRPr="00DB615A">
                                      <w:rPr>
                                        <w:rFonts w:ascii="Helvetica" w:eastAsia="Times New Roman" w:hAnsi="Helvetica" w:cs="Helvetica"/>
                                        <w:b/>
                                        <w:bCs/>
                                        <w:color w:val="000000"/>
                                        <w:sz w:val="17"/>
                                        <w:szCs w:val="17"/>
                                        <w:lang w:eastAsia="en-IE"/>
                                      </w:rPr>
                                      <w:t>DAQRI</w:t>
                                    </w:r>
                                  </w:p>
                                  <w:p w:rsidR="00DB615A" w:rsidRPr="00DB615A" w:rsidRDefault="00DB615A" w:rsidP="00DB615A">
                                    <w:pPr>
                                      <w:spacing w:after="0" w:line="315" w:lineRule="atLeast"/>
                                      <w:rPr>
                                        <w:rFonts w:ascii="Helvetica" w:eastAsia="Times New Roman" w:hAnsi="Helvetica" w:cs="Helvetica"/>
                                        <w:color w:val="F2F2F2"/>
                                        <w:sz w:val="21"/>
                                        <w:szCs w:val="21"/>
                                        <w:lang w:eastAsia="en-IE"/>
                                      </w:rPr>
                                    </w:pPr>
                                    <w:r w:rsidRPr="00DB615A">
                                      <w:rPr>
                                        <w:rFonts w:ascii="Helvetica" w:eastAsia="Times New Roman" w:hAnsi="Helvetica" w:cs="Helvetica"/>
                                        <w:color w:val="000000"/>
                                        <w:sz w:val="17"/>
                                        <w:szCs w:val="17"/>
                                        <w:lang w:eastAsia="en-IE"/>
                                      </w:rPr>
                                      <w:t xml:space="preserve">DAQRI, the leader in Professional Grade AR™, empowers workforces to be more effective. DAQRI </w:t>
                                    </w:r>
                                    <w:proofErr w:type="spellStart"/>
                                    <w:r w:rsidRPr="00DB615A">
                                      <w:rPr>
                                        <w:rFonts w:ascii="Helvetica" w:eastAsia="Times New Roman" w:hAnsi="Helvetica" w:cs="Helvetica"/>
                                        <w:color w:val="000000"/>
                                        <w:sz w:val="17"/>
                                        <w:szCs w:val="17"/>
                                        <w:lang w:eastAsia="en-IE"/>
                                      </w:rPr>
                                      <w:t>Worksense</w:t>
                                    </w:r>
                                    <w:proofErr w:type="spellEnd"/>
                                    <w:r w:rsidRPr="00DB615A">
                                      <w:rPr>
                                        <w:rFonts w:ascii="Helvetica" w:eastAsia="Times New Roman" w:hAnsi="Helvetica" w:cs="Helvetica"/>
                                        <w:color w:val="000000"/>
                                        <w:sz w:val="17"/>
                                        <w:szCs w:val="17"/>
                                        <w:lang w:eastAsia="en-IE"/>
                                      </w:rPr>
                                      <w:t xml:space="preserve">™ and DAQRI Smart Glasses® link digital content to the real world to accelerate productivity, communication, and key business processes. From the office to the factory floor, DAQRI customers improve workplace efficiency, safety, and their bottom line. With head offices in Los Angeles, California and Dublin, Ireland, </w:t>
                                    </w:r>
                                    <w:proofErr w:type="spellStart"/>
                                    <w:r w:rsidRPr="00DB615A">
                                      <w:rPr>
                                        <w:rFonts w:ascii="Helvetica" w:eastAsia="Times New Roman" w:hAnsi="Helvetica" w:cs="Helvetica"/>
                                        <w:color w:val="000000"/>
                                        <w:sz w:val="17"/>
                                        <w:szCs w:val="17"/>
                                        <w:lang w:eastAsia="en-IE"/>
                                      </w:rPr>
                                      <w:t>Daqri</w:t>
                                    </w:r>
                                    <w:proofErr w:type="spellEnd"/>
                                    <w:r w:rsidRPr="00DB615A">
                                      <w:rPr>
                                        <w:rFonts w:ascii="Helvetica" w:eastAsia="Times New Roman" w:hAnsi="Helvetica" w:cs="Helvetica"/>
                                        <w:color w:val="000000"/>
                                        <w:sz w:val="17"/>
                                        <w:szCs w:val="17"/>
                                        <w:lang w:eastAsia="en-IE"/>
                                      </w:rPr>
                                      <w:t xml:space="preserve"> provide a complete hardware, software, applications, and partner ecosystem to bring AR to scale.</w:t>
                                    </w:r>
                                    <w:r w:rsidRPr="00DB615A">
                                      <w:rPr>
                                        <w:rFonts w:ascii="Helvetica" w:eastAsia="Times New Roman" w:hAnsi="Helvetica" w:cs="Helvetica"/>
                                        <w:color w:val="F2F2F2"/>
                                        <w:sz w:val="21"/>
                                        <w:szCs w:val="21"/>
                                        <w:lang w:eastAsia="en-IE"/>
                                      </w:rPr>
                                      <w:br/>
                                      <w:t> </w:t>
                                    </w: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DB615A" w:rsidRPr="00DB615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DB615A" w:rsidRPr="00DB615A">
                          <w:tc>
                            <w:tcPr>
                              <w:tcW w:w="0" w:type="auto"/>
                              <w:tcMar>
                                <w:top w:w="135" w:type="dxa"/>
                                <w:left w:w="270" w:type="dxa"/>
                                <w:bottom w:w="135" w:type="dxa"/>
                                <w:right w:w="270" w:type="dxa"/>
                              </w:tcMar>
                              <w:vAlign w:val="center"/>
                              <w:hideMark/>
                            </w:tcPr>
                            <w:tbl>
                              <w:tblPr>
                                <w:tblW w:w="5000" w:type="pct"/>
                                <w:tblBorders>
                                  <w:top w:val="single" w:sz="6" w:space="0" w:color="222222"/>
                                  <w:left w:val="single" w:sz="6" w:space="0" w:color="222222"/>
                                  <w:bottom w:val="single" w:sz="6" w:space="0" w:color="222222"/>
                                  <w:right w:val="single" w:sz="6" w:space="0" w:color="222222"/>
                                </w:tblBorders>
                                <w:shd w:val="clear" w:color="auto" w:fill="FFFFFF"/>
                                <w:tblCellMar>
                                  <w:top w:w="15" w:type="dxa"/>
                                  <w:left w:w="15" w:type="dxa"/>
                                  <w:bottom w:w="15" w:type="dxa"/>
                                  <w:right w:w="15" w:type="dxa"/>
                                </w:tblCellMar>
                                <w:tblLook w:val="04A0" w:firstRow="1" w:lastRow="0" w:firstColumn="1" w:lastColumn="0" w:noHBand="0" w:noVBand="1"/>
                              </w:tblPr>
                              <w:tblGrid>
                                <w:gridCol w:w="8470"/>
                              </w:tblGrid>
                              <w:tr w:rsidR="00DB615A" w:rsidRPr="00DB615A">
                                <w:tc>
                                  <w:tcPr>
                                    <w:tcW w:w="0" w:type="auto"/>
                                    <w:shd w:val="clear" w:color="auto" w:fill="FFFFFF"/>
                                    <w:tcMar>
                                      <w:top w:w="270" w:type="dxa"/>
                                      <w:left w:w="270" w:type="dxa"/>
                                      <w:bottom w:w="270" w:type="dxa"/>
                                      <w:right w:w="270" w:type="dxa"/>
                                    </w:tcMar>
                                    <w:hideMark/>
                                  </w:tcPr>
                                  <w:p w:rsidR="00DB615A" w:rsidRPr="00DB615A" w:rsidRDefault="00DB615A" w:rsidP="00DB615A">
                                    <w:pPr>
                                      <w:spacing w:after="0" w:line="315" w:lineRule="atLeast"/>
                                      <w:rPr>
                                        <w:rFonts w:ascii="Helvetica" w:eastAsia="Times New Roman" w:hAnsi="Helvetica" w:cs="Helvetica"/>
                                        <w:color w:val="F2F2F2"/>
                                        <w:sz w:val="21"/>
                                        <w:szCs w:val="21"/>
                                        <w:lang w:eastAsia="en-IE"/>
                                      </w:rPr>
                                    </w:pPr>
                                    <w:r w:rsidRPr="00DB615A">
                                      <w:rPr>
                                        <w:rFonts w:ascii="Arial" w:eastAsia="Times New Roman" w:hAnsi="Arial" w:cs="Arial"/>
                                        <w:b/>
                                        <w:bCs/>
                                        <w:color w:val="000000"/>
                                        <w:sz w:val="17"/>
                                        <w:szCs w:val="17"/>
                                        <w:lang w:eastAsia="en-IE"/>
                                      </w:rPr>
                                      <w:t>About </w:t>
                                    </w:r>
                                    <w:r w:rsidRPr="00DB615A">
                                      <w:rPr>
                                        <w:rFonts w:ascii="Helvetica" w:eastAsia="Times New Roman" w:hAnsi="Helvetica" w:cs="Helvetica"/>
                                        <w:b/>
                                        <w:bCs/>
                                        <w:color w:val="000000"/>
                                        <w:sz w:val="17"/>
                                        <w:szCs w:val="17"/>
                                        <w:lang w:eastAsia="en-IE"/>
                                      </w:rPr>
                                      <w:t>Takeda</w:t>
                                    </w:r>
                                    <w:r w:rsidRPr="00DB615A">
                                      <w:rPr>
                                        <w:rFonts w:ascii="Helvetica" w:eastAsia="Times New Roman" w:hAnsi="Helvetica" w:cs="Helvetica"/>
                                        <w:color w:val="F2F2F2"/>
                                        <w:sz w:val="17"/>
                                        <w:szCs w:val="17"/>
                                        <w:lang w:eastAsia="en-IE"/>
                                      </w:rPr>
                                      <w:br/>
                                    </w:r>
                                    <w:proofErr w:type="spellStart"/>
                                    <w:r w:rsidRPr="00DB615A">
                                      <w:rPr>
                                        <w:rFonts w:ascii="Helvetica" w:eastAsia="Times New Roman" w:hAnsi="Helvetica" w:cs="Helvetica"/>
                                        <w:color w:val="000000"/>
                                        <w:sz w:val="17"/>
                                        <w:szCs w:val="17"/>
                                        <w:lang w:eastAsia="en-IE"/>
                                      </w:rPr>
                                      <w:t>Takeda</w:t>
                                    </w:r>
                                    <w:proofErr w:type="spellEnd"/>
                                    <w:r w:rsidRPr="00DB615A">
                                      <w:rPr>
                                        <w:rFonts w:ascii="Helvetica" w:eastAsia="Times New Roman" w:hAnsi="Helvetica" w:cs="Helvetica"/>
                                        <w:color w:val="000000"/>
                                        <w:sz w:val="17"/>
                                        <w:szCs w:val="17"/>
                                        <w:lang w:eastAsia="en-IE"/>
                                      </w:rPr>
                                      <w:t xml:space="preserve"> Pharmaceutical Company Limited, a global, values-based, R&amp;D-driven biopharmaceutical leader committed to bringing better health and a brighter future to patients by translating science into life-changing medicines, has been established in Ireland since 1997. Across Ireland, Takeda has commercial operations, corporate services and three manufacturing facilities in Bray, Dunboyne and Grange Castle.</w:t>
                                    </w:r>
                                    <w:r w:rsidRPr="00DB615A">
                                      <w:rPr>
                                        <w:rFonts w:ascii="Helvetica" w:eastAsia="Times New Roman" w:hAnsi="Helvetica" w:cs="Helvetica"/>
                                        <w:color w:val="000000"/>
                                        <w:sz w:val="17"/>
                                        <w:szCs w:val="17"/>
                                        <w:lang w:eastAsia="en-IE"/>
                                      </w:rPr>
                                      <w:br/>
                                      <w:t>Takeda is developing a new, innovative biologics manufacturing facility, on a 120 acre site in, Dunboyne, County Meath. The state-of-the-art facility will adopt single use technology in the manufacturing processes and will be a highly automated facility.</w:t>
                                    </w:r>
                                  </w:p>
                                  <w:p w:rsidR="00DB615A" w:rsidRPr="00DB615A" w:rsidRDefault="00DB615A" w:rsidP="00DB615A">
                                    <w:pPr>
                                      <w:spacing w:after="0" w:line="315" w:lineRule="atLeast"/>
                                      <w:rPr>
                                        <w:rFonts w:ascii="Helvetica" w:eastAsia="Times New Roman" w:hAnsi="Helvetica" w:cs="Helvetica"/>
                                        <w:color w:val="F2F2F2"/>
                                        <w:sz w:val="21"/>
                                        <w:szCs w:val="21"/>
                                        <w:lang w:eastAsia="en-IE"/>
                                      </w:rPr>
                                    </w:pPr>
                                    <w:r w:rsidRPr="00DB615A">
                                      <w:rPr>
                                        <w:rFonts w:ascii="Helvetica" w:eastAsia="Times New Roman" w:hAnsi="Helvetica" w:cs="Helvetica"/>
                                        <w:color w:val="F2F2F2"/>
                                        <w:sz w:val="21"/>
                                        <w:szCs w:val="21"/>
                                        <w:lang w:eastAsia="en-IE"/>
                                      </w:rPr>
                                      <w:t> </w:t>
                                    </w: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rPr>
                      <w:rFonts w:ascii="Times New Roman" w:eastAsia="Times New Roman" w:hAnsi="Times New Roman" w:cs="Times New Roman"/>
                      <w:sz w:val="24"/>
                      <w:szCs w:val="24"/>
                      <w:lang w:eastAsia="en-IE"/>
                    </w:rPr>
                  </w:pPr>
                </w:p>
              </w:tc>
            </w:tr>
          </w:tbl>
          <w:p w:rsidR="00DB615A" w:rsidRPr="00DB615A" w:rsidRDefault="00DB615A" w:rsidP="00DB615A">
            <w:pPr>
              <w:spacing w:after="0" w:line="240" w:lineRule="auto"/>
              <w:jc w:val="center"/>
              <w:rPr>
                <w:rFonts w:ascii="Times New Roman" w:eastAsia="Times New Roman" w:hAnsi="Times New Roman" w:cs="Times New Roman"/>
                <w:color w:val="000000"/>
                <w:sz w:val="27"/>
                <w:szCs w:val="27"/>
                <w:lang w:eastAsia="en-IE"/>
              </w:rPr>
            </w:pPr>
          </w:p>
        </w:tc>
      </w:tr>
    </w:tbl>
    <w:p w:rsidR="00F3242F" w:rsidRDefault="00DB615A"/>
    <w:sectPr w:rsidR="00F32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5A"/>
    <w:rsid w:val="00727E05"/>
    <w:rsid w:val="00D61E20"/>
    <w:rsid w:val="00DB61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F572F-DE54-4205-9824-B675281E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615A"/>
    <w:rPr>
      <w:b/>
      <w:bCs/>
    </w:rPr>
  </w:style>
  <w:style w:type="character" w:styleId="Hyperlink">
    <w:name w:val="Hyperlink"/>
    <w:basedOn w:val="DefaultParagraphFont"/>
    <w:uiPriority w:val="99"/>
    <w:semiHidden/>
    <w:unhideWhenUsed/>
    <w:rsid w:val="00DB615A"/>
    <w:rPr>
      <w:color w:val="0000FF"/>
      <w:u w:val="single"/>
    </w:rPr>
  </w:style>
  <w:style w:type="paragraph" w:styleId="NormalWeb">
    <w:name w:val="Normal (Web)"/>
    <w:basedOn w:val="Normal"/>
    <w:uiPriority w:val="99"/>
    <w:semiHidden/>
    <w:unhideWhenUsed/>
    <w:rsid w:val="00DB615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B61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72184">
      <w:bodyDiv w:val="1"/>
      <w:marLeft w:val="0"/>
      <w:marRight w:val="0"/>
      <w:marTop w:val="0"/>
      <w:marBottom w:val="0"/>
      <w:divBdr>
        <w:top w:val="none" w:sz="0" w:space="0" w:color="auto"/>
        <w:left w:val="none" w:sz="0" w:space="0" w:color="auto"/>
        <w:bottom w:val="none" w:sz="0" w:space="0" w:color="auto"/>
        <w:right w:val="none" w:sz="0" w:space="0" w:color="auto"/>
      </w:divBdr>
      <w:divsChild>
        <w:div w:id="1159006435">
          <w:marLeft w:val="0"/>
          <w:marRight w:val="0"/>
          <w:marTop w:val="0"/>
          <w:marBottom w:val="0"/>
          <w:divBdr>
            <w:top w:val="none" w:sz="0" w:space="0" w:color="auto"/>
            <w:left w:val="none" w:sz="0" w:space="0" w:color="auto"/>
            <w:bottom w:val="none" w:sz="0" w:space="0" w:color="auto"/>
            <w:right w:val="none" w:sz="0" w:space="0" w:color="auto"/>
          </w:divBdr>
        </w:div>
        <w:div w:id="379670440">
          <w:marLeft w:val="0"/>
          <w:marRight w:val="0"/>
          <w:marTop w:val="0"/>
          <w:marBottom w:val="0"/>
          <w:divBdr>
            <w:top w:val="none" w:sz="0" w:space="0" w:color="auto"/>
            <w:left w:val="none" w:sz="0" w:space="0" w:color="auto"/>
            <w:bottom w:val="none" w:sz="0" w:space="0" w:color="auto"/>
            <w:right w:val="none" w:sz="0" w:space="0" w:color="auto"/>
          </w:divBdr>
        </w:div>
        <w:div w:id="1312128726">
          <w:marLeft w:val="0"/>
          <w:marRight w:val="0"/>
          <w:marTop w:val="0"/>
          <w:marBottom w:val="0"/>
          <w:divBdr>
            <w:top w:val="none" w:sz="0" w:space="0" w:color="auto"/>
            <w:left w:val="none" w:sz="0" w:space="0" w:color="auto"/>
            <w:bottom w:val="none" w:sz="0" w:space="0" w:color="auto"/>
            <w:right w:val="none" w:sz="0" w:space="0" w:color="auto"/>
          </w:divBdr>
        </w:div>
        <w:div w:id="421032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cg.com/" TargetMode="External"/><Relationship Id="rId3" Type="http://schemas.openxmlformats.org/officeDocument/2006/relationships/webSettings" Target="webSettings.xml"/><Relationship Id="rId7" Type="http://schemas.openxmlformats.org/officeDocument/2006/relationships/hyperlink" Target="https://www.nibrt.ie/" TargetMode="External"/><Relationship Id="rId12" Type="http://schemas.openxmlformats.org/officeDocument/2006/relationships/hyperlink" Target="mailto:alison.quinn@nibrt.i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s://www.bcg.com/" TargetMode="External"/><Relationship Id="rId15" Type="http://schemas.openxmlformats.org/officeDocument/2006/relationships/fontTable" Target="fontTable.xml"/><Relationship Id="rId10" Type="http://schemas.openxmlformats.org/officeDocument/2006/relationships/hyperlink" Target="https://www.youtube.com/watch?v=A9X2KRxG3sI&amp;t=14s" TargetMode="External"/><Relationship Id="rId4" Type="http://schemas.openxmlformats.org/officeDocument/2006/relationships/hyperlink" Target="https://mailchi.mp/6db1da0b06d8/the-national-institute-for-bioprocessing-research-and-training-nibrt-and-pfizer-announce-a-new-collaboration-192261?e=%5bUNIQID%5d" TargetMode="External"/><Relationship Id="rId9" Type="http://schemas.openxmlformats.org/officeDocument/2006/relationships/image" Target="media/image3.jpeg"/><Relationship Id="rId14" Type="http://schemas.openxmlformats.org/officeDocument/2006/relationships/hyperlink" Target="mailto:cummins.rebecca@bc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35634489</Template>
  <TotalTime>1</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2019-05-02T13:34:00Z</dcterms:created>
  <dcterms:modified xsi:type="dcterms:W3CDTF">2019-05-02T13:35:00Z</dcterms:modified>
</cp:coreProperties>
</file>