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C66BA" w:rsidRPr="006C66BA" w:rsidTr="006C66B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C66BA" w:rsidRPr="006C66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0" w:type="dxa"/>
                                <w:left w:w="270" w:type="dxa"/>
                                <w:bottom w:w="135" w:type="dxa"/>
                                <w:right w:w="270" w:type="dxa"/>
                              </w:tcMar>
                              <w:hideMark/>
                            </w:tcPr>
                            <w:p w:rsidR="006C66BA" w:rsidRPr="006C66BA" w:rsidRDefault="006C66BA" w:rsidP="006C66BA">
                              <w:pPr>
                                <w:spacing w:after="0" w:line="270" w:lineRule="atLeast"/>
                                <w:rPr>
                                  <w:rFonts w:ascii="Verdana" w:eastAsia="Times New Roman" w:hAnsi="Verdana" w:cs="Times New Roman"/>
                                  <w:color w:val="000000"/>
                                  <w:sz w:val="18"/>
                                  <w:szCs w:val="18"/>
                                  <w:lang w:eastAsia="en-IE"/>
                                </w:rPr>
                              </w:pPr>
                              <w:r w:rsidRPr="006C66BA">
                                <w:rPr>
                                  <w:rFonts w:ascii="Verdana" w:eastAsia="Times New Roman" w:hAnsi="Verdana" w:cs="Times New Roman"/>
                                  <w:color w:val="000000"/>
                                  <w:sz w:val="20"/>
                                  <w:szCs w:val="20"/>
                                  <w:lang w:eastAsia="en-IE"/>
                                </w:rPr>
                                <w:t>Shire announces collaboration with National Institute of Bioprocessing Research and Training </w:t>
                              </w:r>
                              <w:r w:rsidRPr="006C66BA">
                                <w:rPr>
                                  <w:rFonts w:ascii="Verdana" w:eastAsia="Times New Roman" w:hAnsi="Verdana" w:cs="Times New Roman"/>
                                  <w:color w:val="696969"/>
                                  <w:sz w:val="20"/>
                                  <w:szCs w:val="20"/>
                                  <w:lang w:eastAsia="en-IE"/>
                                </w:rPr>
                                <w:t> </w:t>
                              </w:r>
                              <w:r w:rsidRPr="006C66BA">
                                <w:rPr>
                                  <w:rFonts w:ascii="Verdana" w:eastAsia="Times New Roman" w:hAnsi="Verdana" w:cs="Times New Roman"/>
                                  <w:color w:val="000000"/>
                                  <w:sz w:val="18"/>
                                  <w:szCs w:val="18"/>
                                  <w:lang w:eastAsia="en-IE"/>
                                </w:rPr>
                                <w:br/>
                                <w:t> </w:t>
                              </w: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0" w:type="dxa"/>
                                <w:left w:w="270" w:type="dxa"/>
                                <w:bottom w:w="135" w:type="dxa"/>
                                <w:right w:w="270" w:type="dxa"/>
                              </w:tcMar>
                              <w:hideMark/>
                            </w:tcPr>
                            <w:p w:rsidR="006C66BA" w:rsidRPr="006C66BA" w:rsidRDefault="006C66BA" w:rsidP="006C66BA">
                              <w:pPr>
                                <w:spacing w:after="0" w:line="270" w:lineRule="atLeast"/>
                                <w:rPr>
                                  <w:rFonts w:ascii="Verdana" w:eastAsia="Times New Roman" w:hAnsi="Verdana" w:cs="Times New Roman"/>
                                  <w:color w:val="000000"/>
                                  <w:sz w:val="18"/>
                                  <w:szCs w:val="18"/>
                                  <w:lang w:eastAsia="en-IE"/>
                                </w:rPr>
                              </w:pPr>
                              <w:hyperlink r:id="rId5" w:tgtFrame="_blank" w:history="1">
                                <w:r w:rsidRPr="006C66BA">
                                  <w:rPr>
                                    <w:rFonts w:ascii="Verdana" w:eastAsia="Times New Roman" w:hAnsi="Verdana" w:cs="Times New Roman"/>
                                    <w:color w:val="656565"/>
                                    <w:sz w:val="18"/>
                                    <w:szCs w:val="18"/>
                                    <w:u w:val="single"/>
                                    <w:lang w:eastAsia="en-IE"/>
                                  </w:rPr>
                                  <w:t>View this email in your browser</w:t>
                                </w:r>
                              </w:hyperlink>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jc w:val="center"/>
              <w:rPr>
                <w:rFonts w:ascii="Times New Roman" w:eastAsia="Times New Roman" w:hAnsi="Times New Roman" w:cs="Times New Roman"/>
                <w:color w:val="000000"/>
                <w:sz w:val="27"/>
                <w:szCs w:val="27"/>
                <w:lang w:eastAsia="en-IE"/>
              </w:rPr>
            </w:pPr>
          </w:p>
        </w:tc>
      </w:tr>
      <w:tr w:rsidR="006C66BA" w:rsidRPr="006C66BA" w:rsidTr="006C66BA">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C66BA" w:rsidRPr="006C66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6C66BA" w:rsidRPr="006C66BA">
                          <w:tc>
                            <w:tcPr>
                              <w:tcW w:w="0" w:type="auto"/>
                              <w:tcMar>
                                <w:top w:w="0" w:type="dxa"/>
                                <w:left w:w="135" w:type="dxa"/>
                                <w:bottom w:w="0" w:type="dxa"/>
                                <w:right w:w="0" w:type="dxa"/>
                              </w:tcMar>
                              <w:hideMark/>
                            </w:tcPr>
                            <w:p w:rsidR="006C66BA" w:rsidRPr="006C66BA" w:rsidRDefault="006C66BA" w:rsidP="006C66BA">
                              <w:pPr>
                                <w:spacing w:after="0" w:line="240" w:lineRule="auto"/>
                                <w:rPr>
                                  <w:rFonts w:ascii="Times New Roman" w:eastAsia="Times New Roman" w:hAnsi="Times New Roman" w:cs="Times New Roman"/>
                                  <w:sz w:val="24"/>
                                  <w:szCs w:val="24"/>
                                  <w:lang w:eastAsia="en-IE"/>
                                </w:rPr>
                              </w:pPr>
                              <w:r w:rsidRPr="006C66BA">
                                <w:rPr>
                                  <w:rFonts w:ascii="Times New Roman" w:eastAsia="Times New Roman" w:hAnsi="Times New Roman" w:cs="Times New Roman"/>
                                  <w:noProof/>
                                  <w:color w:val="0000FF"/>
                                  <w:sz w:val="24"/>
                                  <w:szCs w:val="24"/>
                                  <w:lang w:eastAsia="en-IE"/>
                                </w:rPr>
                                <w:drawing>
                                  <wp:inline distT="0" distB="0" distL="0" distR="0">
                                    <wp:extent cx="2381250" cy="685800"/>
                                    <wp:effectExtent l="0" t="0" r="0" b="0"/>
                                    <wp:docPr id="8" name="Picture 8" descr="https://gallery.mailchimp.com/3a5ee1f509d4e65c78cfe6acf/images/bb5b3978-9bff-45cb-a60c-2efbdea02b89.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5ee1f509d4e65c78cfe6acf/images/bb5b3978-9bff-45cb-a60c-2efbdea02b89.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6C66BA" w:rsidRPr="006C66BA">
                          <w:tc>
                            <w:tcPr>
                              <w:tcW w:w="0" w:type="auto"/>
                              <w:tcMar>
                                <w:top w:w="0" w:type="dxa"/>
                                <w:left w:w="0" w:type="dxa"/>
                                <w:bottom w:w="0" w:type="dxa"/>
                                <w:right w:w="135" w:type="dxa"/>
                              </w:tcMar>
                              <w:hideMark/>
                            </w:tcPr>
                            <w:p w:rsidR="006C66BA" w:rsidRPr="006C66BA" w:rsidRDefault="006C66BA" w:rsidP="006C66BA">
                              <w:pPr>
                                <w:spacing w:after="0" w:line="240" w:lineRule="auto"/>
                                <w:rPr>
                                  <w:rFonts w:ascii="Times New Roman" w:eastAsia="Times New Roman" w:hAnsi="Times New Roman" w:cs="Times New Roman"/>
                                  <w:sz w:val="24"/>
                                  <w:szCs w:val="24"/>
                                  <w:lang w:eastAsia="en-IE"/>
                                </w:rPr>
                              </w:pPr>
                              <w:r w:rsidRPr="006C66BA">
                                <w:rPr>
                                  <w:rFonts w:ascii="Times New Roman" w:eastAsia="Times New Roman" w:hAnsi="Times New Roman" w:cs="Times New Roman"/>
                                  <w:noProof/>
                                  <w:color w:val="0000FF"/>
                                  <w:sz w:val="24"/>
                                  <w:szCs w:val="24"/>
                                  <w:lang w:eastAsia="en-IE"/>
                                </w:rPr>
                                <w:drawing>
                                  <wp:inline distT="0" distB="0" distL="0" distR="0">
                                    <wp:extent cx="2514600" cy="904875"/>
                                    <wp:effectExtent l="0" t="0" r="0" b="9525"/>
                                    <wp:docPr id="7" name="Picture 7" descr="https://gallery.mailchimp.com/3a5ee1f509d4e65c78cfe6acf/images/c4c59bee-a16c-497f-9041-da6ed9cd5e59.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5ee1f509d4e65c78cfe6acf/images/c4c59bee-a16c-497f-9041-da6ed9cd5e59.png">
                                              <a:hlinkClick r:id="rId8" tgtFrame="&quot;_blank&quot;"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inline>
                                </w:drawing>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6C66BA" w:rsidRPr="006C66BA">
                          <w:tc>
                            <w:tcPr>
                              <w:tcW w:w="0" w:type="auto"/>
                              <w:tcMar>
                                <w:top w:w="0" w:type="dxa"/>
                                <w:left w:w="135" w:type="dxa"/>
                                <w:bottom w:w="0" w:type="dxa"/>
                                <w:right w:w="135" w:type="dxa"/>
                              </w:tcMar>
                              <w:hideMark/>
                            </w:tcPr>
                            <w:p w:rsidR="006C66BA" w:rsidRPr="006C66BA" w:rsidRDefault="006C66BA" w:rsidP="006C66BA">
                              <w:pPr>
                                <w:spacing w:after="0" w:line="240" w:lineRule="auto"/>
                                <w:jc w:val="center"/>
                                <w:rPr>
                                  <w:rFonts w:ascii="Times New Roman" w:eastAsia="Times New Roman" w:hAnsi="Times New Roman" w:cs="Times New Roman"/>
                                  <w:sz w:val="24"/>
                                  <w:szCs w:val="24"/>
                                  <w:lang w:eastAsia="en-IE"/>
                                </w:rPr>
                              </w:pPr>
                              <w:r w:rsidRPr="006C66BA">
                                <w:rPr>
                                  <w:rFonts w:ascii="Times New Roman" w:eastAsia="Times New Roman" w:hAnsi="Times New Roman" w:cs="Times New Roman"/>
                                  <w:noProof/>
                                  <w:color w:val="0000FF"/>
                                  <w:sz w:val="24"/>
                                  <w:szCs w:val="24"/>
                                  <w:lang w:eastAsia="en-IE"/>
                                </w:rPr>
                                <w:drawing>
                                  <wp:inline distT="0" distB="0" distL="0" distR="0">
                                    <wp:extent cx="5372100" cy="3581400"/>
                                    <wp:effectExtent l="0" t="0" r="0" b="0"/>
                                    <wp:docPr id="6" name="Picture 6" descr="https://gallery.mailchimp.com/3a5ee1f509d4e65c78cfe6acf/images/77d86d8e-1a9c-4596-97f7-b28e336bdae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a5ee1f509d4e65c78cfe6acf/images/77d86d8e-1a9c-4596-97f7-b28e336bdaec.jpg">
                                              <a:hlinkClick r:id="rId6"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6C66BA" w:rsidRPr="006C66B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6C66BA" w:rsidRPr="006C66B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6C66BA" w:rsidRPr="006C66BA" w:rsidTr="006C66BA">
                                      <w:trPr>
                                        <w:jc w:val="center"/>
                                      </w:trPr>
                                      <w:tc>
                                        <w:tcPr>
                                          <w:tcW w:w="0" w:type="auto"/>
                                        </w:tcPr>
                                        <w:p w:rsidR="006C66BA" w:rsidRPr="006C66BA" w:rsidRDefault="006C66BA" w:rsidP="006C66BA">
                                          <w:pPr>
                                            <w:spacing w:after="0" w:line="240" w:lineRule="auto"/>
                                            <w:jc w:val="center"/>
                                            <w:rPr>
                                              <w:rFonts w:ascii="Times New Roman" w:eastAsia="Times New Roman" w:hAnsi="Times New Roman" w:cs="Times New Roman"/>
                                              <w:sz w:val="24"/>
                                              <w:szCs w:val="24"/>
                                              <w:lang w:eastAsia="en-IE"/>
                                            </w:rPr>
                                          </w:pPr>
                                          <w:bookmarkStart w:id="0" w:name="_GoBack"/>
                                          <w:bookmarkEnd w:id="0"/>
                                        </w:p>
                                      </w:tc>
                                    </w:tr>
                                  </w:tbl>
                                  <w:p w:rsidR="006C66BA" w:rsidRPr="006C66BA" w:rsidRDefault="006C66BA" w:rsidP="006C66BA">
                                    <w:pPr>
                                      <w:spacing w:after="0" w:line="240" w:lineRule="auto"/>
                                      <w:jc w:val="center"/>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jc w:val="center"/>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jc w:val="center"/>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0" w:type="dxa"/>
                                <w:left w:w="270" w:type="dxa"/>
                                <w:bottom w:w="135" w:type="dxa"/>
                                <w:right w:w="270" w:type="dxa"/>
                              </w:tcMar>
                              <w:hideMark/>
                            </w:tcPr>
                            <w:p w:rsidR="006C66BA" w:rsidRPr="006C66BA" w:rsidRDefault="006C66BA" w:rsidP="006C66BA">
                              <w:pPr>
                                <w:spacing w:after="0" w:line="270" w:lineRule="atLeast"/>
                                <w:jc w:val="center"/>
                                <w:rPr>
                                  <w:rFonts w:ascii="Arial" w:eastAsia="Times New Roman" w:hAnsi="Arial" w:cs="Arial"/>
                                  <w:color w:val="202020"/>
                                  <w:sz w:val="18"/>
                                  <w:szCs w:val="18"/>
                                  <w:lang w:eastAsia="en-IE"/>
                                </w:rPr>
                              </w:pPr>
                              <w:r w:rsidRPr="006C66BA">
                                <w:rPr>
                                  <w:rFonts w:ascii="Arial" w:eastAsia="Times New Roman" w:hAnsi="Arial" w:cs="Arial"/>
                                  <w:b/>
                                  <w:bCs/>
                                  <w:color w:val="202020"/>
                                  <w:sz w:val="27"/>
                                  <w:szCs w:val="27"/>
                                  <w:lang w:eastAsia="en-IE"/>
                                </w:rPr>
                                <w:t>Shire announces collaboration with National Institute of Bioprocessing Research and Training</w:t>
                              </w:r>
                            </w:p>
                            <w:p w:rsidR="006C66BA" w:rsidRPr="006C66BA" w:rsidRDefault="006C66BA" w:rsidP="006C66BA">
                              <w:pPr>
                                <w:spacing w:after="0" w:line="270" w:lineRule="atLeast"/>
                                <w:jc w:val="center"/>
                                <w:rPr>
                                  <w:rFonts w:ascii="Arial" w:eastAsia="Times New Roman" w:hAnsi="Arial" w:cs="Arial"/>
                                  <w:color w:val="202020"/>
                                  <w:sz w:val="18"/>
                                  <w:szCs w:val="18"/>
                                  <w:lang w:eastAsia="en-IE"/>
                                </w:rPr>
                              </w:pPr>
                              <w:r w:rsidRPr="006C66BA">
                                <w:rPr>
                                  <w:rFonts w:ascii="Arial" w:eastAsia="Times New Roman" w:hAnsi="Arial" w:cs="Arial"/>
                                  <w:color w:val="202020"/>
                                  <w:sz w:val="18"/>
                                  <w:szCs w:val="18"/>
                                  <w:lang w:eastAsia="en-IE"/>
                                </w:rPr>
                                <w:t> </w:t>
                              </w:r>
                            </w:p>
                            <w:p w:rsidR="006C66BA" w:rsidRPr="006C66BA" w:rsidRDefault="006C66BA" w:rsidP="006C66BA">
                              <w:pPr>
                                <w:spacing w:after="240" w:line="270" w:lineRule="atLeast"/>
                                <w:jc w:val="center"/>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Shire to utilise NIBRT-GE’s Single Use Centre of Excellence</w:t>
                              </w:r>
                            </w:p>
                            <w:p w:rsidR="006C66BA" w:rsidRPr="006C66BA" w:rsidRDefault="006C66BA" w:rsidP="006C66BA">
                              <w:p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Dublin, Ireland, 26 March 2018 Shire plc (LSE: SHP, NASDAQ: SHPG), the global biotechnology leader in rare diseases, today announces a professional training and development collaboration with the National Institute of Bioprocessing Research and Training (“NIBRT”) in Dublin.</w:t>
                              </w:r>
                              <w:r w:rsidRPr="006C66BA">
                                <w:rPr>
                                  <w:rFonts w:ascii="Arial" w:eastAsia="Times New Roman" w:hAnsi="Arial" w:cs="Arial"/>
                                  <w:color w:val="444444"/>
                                  <w:sz w:val="18"/>
                                  <w:szCs w:val="18"/>
                                  <w:lang w:eastAsia="en-IE"/>
                                </w:rPr>
                                <w:br/>
                                <w:t> </w:t>
                              </w:r>
                              <w:r w:rsidRPr="006C66BA">
                                <w:rPr>
                                  <w:rFonts w:ascii="Arial" w:eastAsia="Times New Roman" w:hAnsi="Arial" w:cs="Arial"/>
                                  <w:color w:val="444444"/>
                                  <w:sz w:val="18"/>
                                  <w:szCs w:val="18"/>
                                  <w:lang w:eastAsia="en-IE"/>
                                </w:rPr>
                                <w:br/>
                                <w:t>Shire will also use NIBRT-GE’s Single Use Centre of Excellence to train new employees who will start at the company’s new facility in Dunboyne, County Meath.</w:t>
                              </w:r>
                              <w:r w:rsidRPr="006C66BA">
                                <w:rPr>
                                  <w:rFonts w:ascii="Arial" w:eastAsia="Times New Roman" w:hAnsi="Arial" w:cs="Arial"/>
                                  <w:color w:val="444444"/>
                                  <w:sz w:val="18"/>
                                  <w:szCs w:val="18"/>
                                  <w:lang w:eastAsia="en-IE"/>
                                </w:rPr>
                                <w:br/>
                              </w:r>
                              <w:r w:rsidRPr="006C66BA">
                                <w:rPr>
                                  <w:rFonts w:ascii="Arial" w:eastAsia="Times New Roman" w:hAnsi="Arial" w:cs="Arial"/>
                                  <w:color w:val="444444"/>
                                  <w:sz w:val="18"/>
                                  <w:szCs w:val="18"/>
                                  <w:lang w:eastAsia="en-IE"/>
                                </w:rPr>
                                <w:lastRenderedPageBreak/>
                                <w:t> </w:t>
                              </w:r>
                              <w:r w:rsidRPr="006C66BA">
                                <w:rPr>
                                  <w:rFonts w:ascii="Arial" w:eastAsia="Times New Roman" w:hAnsi="Arial" w:cs="Arial"/>
                                  <w:color w:val="444444"/>
                                  <w:sz w:val="18"/>
                                  <w:szCs w:val="18"/>
                                  <w:lang w:eastAsia="en-IE"/>
                                </w:rPr>
                                <w:br/>
                                <w:t>The partnership involves:</w:t>
                              </w:r>
                            </w:p>
                            <w:p w:rsidR="006C66BA" w:rsidRPr="006C66BA" w:rsidRDefault="006C66BA" w:rsidP="006C66BA">
                              <w:pPr>
                                <w:numPr>
                                  <w:ilvl w:val="0"/>
                                  <w:numId w:val="1"/>
                                </w:num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Innovative collaboration between Shire and NIBRT for the duration of commissioning validation and start-up of the new facility in County Meath</w:t>
                              </w:r>
                            </w:p>
                            <w:p w:rsidR="006C66BA" w:rsidRPr="006C66BA" w:rsidRDefault="006C66BA" w:rsidP="006C66BA">
                              <w:pPr>
                                <w:numPr>
                                  <w:ilvl w:val="0"/>
                                  <w:numId w:val="1"/>
                                </w:num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Shire to benefit from training all employees at NIBRT’s world class training and research facility in Dublin but more significantly, the collaboration provides the unique opportunity to base 20 Shire employees at the NIBRT facility for a 12 month period to expand the capabilities of these employees to support start-up activities at Dunboyne</w:t>
                              </w:r>
                            </w:p>
                            <w:p w:rsidR="006C66BA" w:rsidRPr="006C66BA" w:rsidRDefault="006C66BA" w:rsidP="006C66BA">
                              <w:pPr>
                                <w:numPr>
                                  <w:ilvl w:val="0"/>
                                  <w:numId w:val="1"/>
                                </w:num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Customised training programmes dedicated to enhance the bio-manufacturing skills of Shire employees</w:t>
                              </w:r>
                            </w:p>
                            <w:p w:rsidR="006C66BA" w:rsidRPr="006C66BA" w:rsidRDefault="006C66BA" w:rsidP="006C66BA">
                              <w:pPr>
                                <w:numPr>
                                  <w:ilvl w:val="0"/>
                                  <w:numId w:val="1"/>
                                </w:num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Shire to utilise the NIBRT-GE Single Use Technology Centre of Excellence, along with the recently announced Emerson manufacturing automation system available for training at NIBRT.  Single-use technology is important for Shire to accelerate our flexibility and efficiency in supporting our biologics product portfolio. From a sustainability perspective this technology also has a positive impact on the environment through reduced cleaning.  </w:t>
                              </w:r>
                            </w:p>
                            <w:p w:rsidR="006C66BA" w:rsidRPr="006C66BA" w:rsidRDefault="006C66BA" w:rsidP="006C66BA">
                              <w:pPr>
                                <w:spacing w:after="240" w:line="270" w:lineRule="atLeast"/>
                                <w:jc w:val="both"/>
                                <w:rPr>
                                  <w:rFonts w:ascii="Arial" w:eastAsia="Times New Roman" w:hAnsi="Arial" w:cs="Arial"/>
                                  <w:color w:val="202020"/>
                                  <w:sz w:val="18"/>
                                  <w:szCs w:val="18"/>
                                  <w:lang w:eastAsia="en-IE"/>
                                </w:rPr>
                              </w:pPr>
                              <w:r w:rsidRPr="006C66BA">
                                <w:rPr>
                                  <w:rFonts w:ascii="Arial" w:eastAsia="Times New Roman" w:hAnsi="Arial" w:cs="Arial"/>
                                  <w:color w:val="444444"/>
                                  <w:sz w:val="18"/>
                                  <w:szCs w:val="18"/>
                                  <w:lang w:eastAsia="en-IE"/>
                                </w:rPr>
                                <w:t xml:space="preserve">Susan Hynes, Site Lead for Dunboyne, </w:t>
                              </w:r>
                              <w:proofErr w:type="spellStart"/>
                              <w:r w:rsidRPr="006C66BA">
                                <w:rPr>
                                  <w:rFonts w:ascii="Arial" w:eastAsia="Times New Roman" w:hAnsi="Arial" w:cs="Arial"/>
                                  <w:color w:val="444444"/>
                                  <w:sz w:val="18"/>
                                  <w:szCs w:val="18"/>
                                  <w:lang w:eastAsia="en-IE"/>
                                </w:rPr>
                                <w:t>said</w:t>
                              </w:r>
                              <w:r w:rsidRPr="006C66BA">
                                <w:rPr>
                                  <w:rFonts w:ascii="Arial" w:eastAsia="Times New Roman" w:hAnsi="Arial" w:cs="Arial"/>
                                  <w:i/>
                                  <w:iCs/>
                                  <w:color w:val="444444"/>
                                  <w:sz w:val="18"/>
                                  <w:szCs w:val="18"/>
                                  <w:lang w:eastAsia="en-IE"/>
                                </w:rPr>
                                <w:t>,”We’re</w:t>
                              </w:r>
                              <w:proofErr w:type="spellEnd"/>
                              <w:r w:rsidRPr="006C66BA">
                                <w:rPr>
                                  <w:rFonts w:ascii="Arial" w:eastAsia="Times New Roman" w:hAnsi="Arial" w:cs="Arial"/>
                                  <w:i/>
                                  <w:iCs/>
                                  <w:color w:val="444444"/>
                                  <w:sz w:val="18"/>
                                  <w:szCs w:val="18"/>
                                  <w:lang w:eastAsia="en-IE"/>
                                </w:rPr>
                                <w:t xml:space="preserve"> delighted to announce this collaboration with NIBRT, a global leader in biopharmaceutical manufacturing research, education and training solutions. NIBRT is uniquely positioned to support Shire and enrich our employees through customised training programmes and provides us the opportunity to utilise NIBRT’s Single Use Centre of Excellence.</w:t>
                              </w:r>
                              <w:r w:rsidRPr="006C66BA">
                                <w:rPr>
                                  <w:rFonts w:ascii="Arial" w:eastAsia="Times New Roman" w:hAnsi="Arial" w:cs="Arial"/>
                                  <w:color w:val="444444"/>
                                  <w:sz w:val="18"/>
                                  <w:szCs w:val="18"/>
                                  <w:lang w:eastAsia="en-IE"/>
                                </w:rPr>
                                <w:br/>
                                <w:t> </w:t>
                              </w:r>
                              <w:r w:rsidRPr="006C66BA">
                                <w:rPr>
                                  <w:rFonts w:ascii="Arial" w:eastAsia="Times New Roman" w:hAnsi="Arial" w:cs="Arial"/>
                                  <w:color w:val="444444"/>
                                  <w:sz w:val="18"/>
                                  <w:szCs w:val="18"/>
                                  <w:lang w:eastAsia="en-IE"/>
                                </w:rPr>
                                <w:br/>
                              </w:r>
                              <w:r w:rsidRPr="006C66BA">
                                <w:rPr>
                                  <w:rFonts w:ascii="Arial" w:eastAsia="Times New Roman" w:hAnsi="Arial" w:cs="Arial"/>
                                  <w:i/>
                                  <w:iCs/>
                                  <w:color w:val="444444"/>
                                  <w:sz w:val="18"/>
                                  <w:szCs w:val="18"/>
                                  <w:lang w:eastAsia="en-IE"/>
                                </w:rPr>
                                <w:t>At Shire, our mission is to be the champion for people with rare diseases.  Developing our new biologics manufacturing facility in Dunboyne, Co. Meath, will help us support more patients who need our innovative medicines.”</w:t>
                              </w:r>
                              <w:r w:rsidRPr="006C66BA">
                                <w:rPr>
                                  <w:rFonts w:ascii="Arial" w:eastAsia="Times New Roman" w:hAnsi="Arial" w:cs="Arial"/>
                                  <w:color w:val="444444"/>
                                  <w:sz w:val="18"/>
                                  <w:szCs w:val="18"/>
                                  <w:lang w:eastAsia="en-IE"/>
                                </w:rPr>
                                <w:br/>
                                <w:t> </w:t>
                              </w:r>
                              <w:r w:rsidRPr="006C66BA">
                                <w:rPr>
                                  <w:rFonts w:ascii="Arial" w:eastAsia="Times New Roman" w:hAnsi="Arial" w:cs="Arial"/>
                                  <w:color w:val="444444"/>
                                  <w:sz w:val="18"/>
                                  <w:szCs w:val="18"/>
                                  <w:lang w:eastAsia="en-IE"/>
                                </w:rPr>
                                <w:br/>
                                <w:t>Dominic Carolan, CEO, NIBRT commented: </w:t>
                              </w:r>
                              <w:r w:rsidRPr="006C66BA">
                                <w:rPr>
                                  <w:rFonts w:ascii="Arial" w:eastAsia="Times New Roman" w:hAnsi="Arial" w:cs="Arial"/>
                                  <w:i/>
                                  <w:iCs/>
                                  <w:color w:val="444444"/>
                                  <w:sz w:val="18"/>
                                  <w:szCs w:val="18"/>
                                  <w:lang w:eastAsia="en-IE"/>
                                </w:rPr>
                                <w:t>“The biopharma manufacturing sector continues to thrive in Ireland. Shire’s major expansion in Dunboyne is a confidence statement in its commitment to Ireland and in their ability to source the best talent for their operations. </w:t>
                              </w:r>
                              <w:r w:rsidRPr="006C66BA">
                                <w:rPr>
                                  <w:rFonts w:ascii="Arial" w:eastAsia="Times New Roman" w:hAnsi="Arial" w:cs="Arial"/>
                                  <w:color w:val="444444"/>
                                  <w:sz w:val="18"/>
                                  <w:szCs w:val="18"/>
                                  <w:lang w:eastAsia="en-IE"/>
                                </w:rPr>
                                <w:br/>
                                <w:t> </w:t>
                              </w:r>
                              <w:r w:rsidRPr="006C66BA">
                                <w:rPr>
                                  <w:rFonts w:ascii="Arial" w:eastAsia="Times New Roman" w:hAnsi="Arial" w:cs="Arial"/>
                                  <w:color w:val="444444"/>
                                  <w:sz w:val="18"/>
                                  <w:szCs w:val="18"/>
                                  <w:lang w:eastAsia="en-IE"/>
                                </w:rPr>
                                <w:br/>
                              </w:r>
                              <w:r w:rsidRPr="006C66BA">
                                <w:rPr>
                                  <w:rFonts w:ascii="Arial" w:eastAsia="Times New Roman" w:hAnsi="Arial" w:cs="Arial"/>
                                  <w:i/>
                                  <w:iCs/>
                                  <w:color w:val="444444"/>
                                  <w:sz w:val="18"/>
                                  <w:szCs w:val="18"/>
                                  <w:lang w:eastAsia="en-IE"/>
                                </w:rPr>
                                <w:t>“The NIBRT-GE Single-Use Centre of Excellence features the latest technologies which will enable us to provide Shire with customised, high-quality training programmes in all aspects of single-use biopharma manufacturing, supported by Emerson Automation Solutions. We look forward to welcoming the first Shire employees later this year.”</w:t>
                              </w:r>
                              <w:r w:rsidRPr="006C66BA">
                                <w:rPr>
                                  <w:rFonts w:ascii="Arial" w:eastAsia="Times New Roman" w:hAnsi="Arial" w:cs="Arial"/>
                                  <w:color w:val="444444"/>
                                  <w:sz w:val="18"/>
                                  <w:szCs w:val="18"/>
                                  <w:lang w:eastAsia="en-IE"/>
                                </w:rPr>
                                <w:br/>
                                <w:t> </w:t>
                              </w:r>
                              <w:r w:rsidRPr="006C66BA">
                                <w:rPr>
                                  <w:rFonts w:ascii="Arial" w:eastAsia="Times New Roman" w:hAnsi="Arial" w:cs="Arial"/>
                                  <w:color w:val="444444"/>
                                  <w:sz w:val="18"/>
                                  <w:szCs w:val="18"/>
                                  <w:lang w:eastAsia="en-IE"/>
                                </w:rPr>
                                <w:br/>
                                <w:t>ENDS</w:t>
                              </w:r>
                            </w:p>
                            <w:p w:rsidR="006C66BA" w:rsidRPr="006C66BA" w:rsidRDefault="006C66BA" w:rsidP="006C66BA">
                              <w:pPr>
                                <w:spacing w:after="0" w:line="270" w:lineRule="atLeast"/>
                                <w:rPr>
                                  <w:rFonts w:ascii="Arial" w:eastAsia="Times New Roman" w:hAnsi="Arial" w:cs="Arial"/>
                                  <w:color w:val="202020"/>
                                  <w:sz w:val="18"/>
                                  <w:szCs w:val="18"/>
                                  <w:lang w:eastAsia="en-IE"/>
                                </w:rPr>
                              </w:pPr>
                              <w:r w:rsidRPr="006C66BA">
                                <w:rPr>
                                  <w:rFonts w:ascii="Arial" w:eastAsia="Times New Roman" w:hAnsi="Arial" w:cs="Arial"/>
                                  <w:i/>
                                  <w:iCs/>
                                  <w:color w:val="444444"/>
                                  <w:sz w:val="15"/>
                                  <w:szCs w:val="15"/>
                                  <w:lang w:eastAsia="en-IE"/>
                                </w:rPr>
                                <w:t>(Pictured; Susan Hynes, Site Lead for Shire Dunboyne, Dominic Carolan, CEO of National Institute of Bioprocessing &amp; Training)</w:t>
                              </w:r>
                              <w:r w:rsidRPr="006C66BA">
                                <w:rPr>
                                  <w:rFonts w:ascii="Calibri" w:eastAsia="Times New Roman" w:hAnsi="Calibri" w:cs="Arial"/>
                                  <w:b/>
                                  <w:bCs/>
                                  <w:i/>
                                  <w:iCs/>
                                  <w:color w:val="444444"/>
                                  <w:sz w:val="15"/>
                                  <w:szCs w:val="15"/>
                                  <w:lang w:eastAsia="en-IE"/>
                                </w:rPr>
                                <w:t> </w:t>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jc w:val="center"/>
              <w:rPr>
                <w:rFonts w:ascii="Times New Roman" w:eastAsia="Times New Roman" w:hAnsi="Times New Roman" w:cs="Times New Roman"/>
                <w:color w:val="000000"/>
                <w:sz w:val="27"/>
                <w:szCs w:val="27"/>
                <w:lang w:eastAsia="en-IE"/>
              </w:rPr>
            </w:pPr>
          </w:p>
        </w:tc>
      </w:tr>
      <w:tr w:rsidR="006C66BA" w:rsidRPr="006C66BA" w:rsidTr="006C66B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C66BA" w:rsidRPr="006C66B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6C66BA" w:rsidRPr="006C66BA">
                                <w:tc>
                                  <w:tcPr>
                                    <w:tcW w:w="0" w:type="auto"/>
                                    <w:shd w:val="clear" w:color="auto" w:fill="FFFFFF"/>
                                    <w:tcMar>
                                      <w:top w:w="270" w:type="dxa"/>
                                      <w:left w:w="270" w:type="dxa"/>
                                      <w:bottom w:w="270" w:type="dxa"/>
                                      <w:right w:w="270" w:type="dxa"/>
                                    </w:tcMar>
                                    <w:hideMark/>
                                  </w:tcPr>
                                  <w:p w:rsidR="006C66BA" w:rsidRPr="006C66BA" w:rsidRDefault="006C66BA" w:rsidP="006C66BA">
                                    <w:pPr>
                                      <w:spacing w:after="0" w:line="315" w:lineRule="atLeast"/>
                                      <w:rPr>
                                        <w:rFonts w:ascii="Helvetica" w:eastAsia="Times New Roman" w:hAnsi="Helvetica" w:cs="Helvetica"/>
                                        <w:color w:val="F2F2F2"/>
                                        <w:sz w:val="21"/>
                                        <w:szCs w:val="21"/>
                                        <w:lang w:eastAsia="en-IE"/>
                                      </w:rPr>
                                    </w:pPr>
                                    <w:r w:rsidRPr="006C66BA">
                                      <w:rPr>
                                        <w:rFonts w:ascii="Helvetica" w:eastAsia="Times New Roman" w:hAnsi="Helvetica" w:cs="Helvetica"/>
                                        <w:b/>
                                        <w:bCs/>
                                        <w:color w:val="444444"/>
                                        <w:sz w:val="18"/>
                                        <w:szCs w:val="18"/>
                                        <w:lang w:eastAsia="en-IE"/>
                                      </w:rPr>
                                      <w:lastRenderedPageBreak/>
                                      <w:t>About Shire, Dunboyne</w:t>
                                    </w:r>
                                    <w:r w:rsidRPr="006C66BA">
                                      <w:rPr>
                                        <w:rFonts w:ascii="Helvetica" w:eastAsia="Times New Roman" w:hAnsi="Helvetica" w:cs="Helvetica"/>
                                        <w:color w:val="444444"/>
                                        <w:sz w:val="21"/>
                                        <w:szCs w:val="21"/>
                                        <w:lang w:eastAsia="en-IE"/>
                                      </w:rPr>
                                      <w:br/>
                                    </w:r>
                                    <w:r w:rsidRPr="006C66BA">
                                      <w:rPr>
                                        <w:rFonts w:ascii="Helvetica" w:eastAsia="Times New Roman" w:hAnsi="Helvetica" w:cs="Helvetica"/>
                                        <w:color w:val="444444"/>
                                        <w:sz w:val="18"/>
                                        <w:szCs w:val="18"/>
                                        <w:lang w:eastAsia="en-IE"/>
                                      </w:rPr>
                                      <w:t xml:space="preserve">Shire is developing a new, innovative biologics manufacturing facility, on a 120 acre site in </w:t>
                                    </w:r>
                                    <w:proofErr w:type="spellStart"/>
                                    <w:r w:rsidRPr="006C66BA">
                                      <w:rPr>
                                        <w:rFonts w:ascii="Helvetica" w:eastAsia="Times New Roman" w:hAnsi="Helvetica" w:cs="Helvetica"/>
                                        <w:color w:val="444444"/>
                                        <w:sz w:val="18"/>
                                        <w:szCs w:val="18"/>
                                        <w:lang w:eastAsia="en-IE"/>
                                      </w:rPr>
                                      <w:t>Piercetown</w:t>
                                    </w:r>
                                    <w:proofErr w:type="spellEnd"/>
                                    <w:r w:rsidRPr="006C66BA">
                                      <w:rPr>
                                        <w:rFonts w:ascii="Helvetica" w:eastAsia="Times New Roman" w:hAnsi="Helvetica" w:cs="Helvetica"/>
                                        <w:color w:val="444444"/>
                                        <w:sz w:val="18"/>
                                        <w:szCs w:val="18"/>
                                        <w:lang w:eastAsia="en-IE"/>
                                      </w:rPr>
                                      <w:t xml:space="preserve">, Dunboyne, </w:t>
                                    </w:r>
                                    <w:proofErr w:type="gramStart"/>
                                    <w:r w:rsidRPr="006C66BA">
                                      <w:rPr>
                                        <w:rFonts w:ascii="Helvetica" w:eastAsia="Times New Roman" w:hAnsi="Helvetica" w:cs="Helvetica"/>
                                        <w:color w:val="444444"/>
                                        <w:sz w:val="18"/>
                                        <w:szCs w:val="18"/>
                                        <w:lang w:eastAsia="en-IE"/>
                                      </w:rPr>
                                      <w:t>County</w:t>
                                    </w:r>
                                    <w:proofErr w:type="gramEnd"/>
                                    <w:r w:rsidRPr="006C66BA">
                                      <w:rPr>
                                        <w:rFonts w:ascii="Helvetica" w:eastAsia="Times New Roman" w:hAnsi="Helvetica" w:cs="Helvetica"/>
                                        <w:color w:val="444444"/>
                                        <w:sz w:val="18"/>
                                        <w:szCs w:val="18"/>
                                        <w:lang w:eastAsia="en-IE"/>
                                      </w:rPr>
                                      <w:t xml:space="preserve"> Meath. The state-of-the-art facility will adopt single use technology in the manufacturing processes, will be a highly automated facility and will also be the European </w:t>
                                    </w:r>
                                    <w:r w:rsidRPr="006C66BA">
                                      <w:rPr>
                                        <w:rFonts w:ascii="Helvetica" w:eastAsia="Times New Roman" w:hAnsi="Helvetica" w:cs="Helvetica"/>
                                        <w:color w:val="444444"/>
                                        <w:sz w:val="18"/>
                                        <w:szCs w:val="18"/>
                                        <w:lang w:eastAsia="en-IE"/>
                                      </w:rPr>
                                      <w:lastRenderedPageBreak/>
                                      <w:t>Quality Control Hub for Shire’s biologics portfolio. </w:t>
                                    </w:r>
                                    <w:r w:rsidRPr="006C66BA">
                                      <w:rPr>
                                        <w:rFonts w:ascii="Helvetica" w:eastAsia="Times New Roman" w:hAnsi="Helvetica" w:cs="Helvetica"/>
                                        <w:color w:val="444444"/>
                                        <w:sz w:val="18"/>
                                        <w:szCs w:val="18"/>
                                        <w:lang w:eastAsia="en-IE"/>
                                      </w:rPr>
                                      <w:br/>
                                      <w:t>Approximately 400 people will be employed at the site, with recruitment underway across multiple functional areas including manufacturing, quality assurance, quality control, engineering, finance, supply chain, automation, human resources and environmental health and safe</w:t>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6C66BA" w:rsidRPr="006C66BA">
                                <w:tc>
                                  <w:tcPr>
                                    <w:tcW w:w="0" w:type="auto"/>
                                    <w:shd w:val="clear" w:color="auto" w:fill="FFFFFF"/>
                                    <w:tcMar>
                                      <w:top w:w="270" w:type="dxa"/>
                                      <w:left w:w="270" w:type="dxa"/>
                                      <w:bottom w:w="270" w:type="dxa"/>
                                      <w:right w:w="270" w:type="dxa"/>
                                    </w:tcMar>
                                    <w:hideMark/>
                                  </w:tcPr>
                                  <w:p w:rsidR="006C66BA" w:rsidRPr="006C66BA" w:rsidRDefault="006C66BA" w:rsidP="006C66BA">
                                    <w:pPr>
                                      <w:spacing w:after="0" w:line="315" w:lineRule="atLeast"/>
                                      <w:jc w:val="both"/>
                                      <w:rPr>
                                        <w:rFonts w:ascii="Helvetica" w:eastAsia="Times New Roman" w:hAnsi="Helvetica" w:cs="Helvetica"/>
                                        <w:color w:val="F2F2F2"/>
                                        <w:sz w:val="21"/>
                                        <w:szCs w:val="21"/>
                                        <w:lang w:eastAsia="en-IE"/>
                                      </w:rPr>
                                    </w:pPr>
                                    <w:r w:rsidRPr="006C66BA">
                                      <w:rPr>
                                        <w:rFonts w:ascii="Helvetica" w:eastAsia="Times New Roman" w:hAnsi="Helvetica" w:cs="Helvetica"/>
                                        <w:b/>
                                        <w:bCs/>
                                        <w:color w:val="444444"/>
                                        <w:sz w:val="18"/>
                                        <w:szCs w:val="18"/>
                                        <w:lang w:eastAsia="en-IE"/>
                                      </w:rPr>
                                      <w:t>About Shire</w:t>
                                    </w:r>
                                    <w:r w:rsidRPr="006C66BA">
                                      <w:rPr>
                                        <w:rFonts w:ascii="Helvetica" w:eastAsia="Times New Roman" w:hAnsi="Helvetica" w:cs="Helvetica"/>
                                        <w:color w:val="444444"/>
                                        <w:sz w:val="18"/>
                                        <w:szCs w:val="18"/>
                                        <w:lang w:eastAsia="en-IE"/>
                                      </w:rPr>
                                      <w:br/>
                                    </w:r>
                                    <w:proofErr w:type="spellStart"/>
                                    <w:r w:rsidRPr="006C66BA">
                                      <w:rPr>
                                        <w:rFonts w:ascii="Helvetica" w:eastAsia="Times New Roman" w:hAnsi="Helvetica" w:cs="Helvetica"/>
                                        <w:color w:val="444444"/>
                                        <w:sz w:val="18"/>
                                        <w:szCs w:val="18"/>
                                        <w:lang w:eastAsia="en-IE"/>
                                      </w:rPr>
                                      <w:t>Shire</w:t>
                                    </w:r>
                                    <w:proofErr w:type="spellEnd"/>
                                    <w:r w:rsidRPr="006C66BA">
                                      <w:rPr>
                                        <w:rFonts w:ascii="Helvetica" w:eastAsia="Times New Roman" w:hAnsi="Helvetica" w:cs="Helvetica"/>
                                        <w:color w:val="444444"/>
                                        <w:sz w:val="18"/>
                                        <w:szCs w:val="18"/>
                                        <w:lang w:eastAsia="en-IE"/>
                                      </w:rPr>
                                      <w:t xml:space="preserve"> is the global leader in serving patients with rare diseases. We strive to develop best-in-class therapies across a core of rare disease areas including haematology, immunology, genetic diseases, neuroscience, and internal medicine with growing therapeutic areas in </w:t>
                                    </w:r>
                                    <w:proofErr w:type="spellStart"/>
                                    <w:r w:rsidRPr="006C66BA">
                                      <w:rPr>
                                        <w:rFonts w:ascii="Helvetica" w:eastAsia="Times New Roman" w:hAnsi="Helvetica" w:cs="Helvetica"/>
                                        <w:color w:val="444444"/>
                                        <w:sz w:val="18"/>
                                        <w:szCs w:val="18"/>
                                        <w:lang w:eastAsia="en-IE"/>
                                      </w:rPr>
                                      <w:t>ophthalmics</w:t>
                                    </w:r>
                                    <w:proofErr w:type="spellEnd"/>
                                    <w:r w:rsidRPr="006C66BA">
                                      <w:rPr>
                                        <w:rFonts w:ascii="Helvetica" w:eastAsia="Times New Roman" w:hAnsi="Helvetica" w:cs="Helvetica"/>
                                        <w:color w:val="444444"/>
                                        <w:sz w:val="18"/>
                                        <w:szCs w:val="18"/>
                                        <w:lang w:eastAsia="en-IE"/>
                                      </w:rPr>
                                      <w:t xml:space="preserve"> and oncology. Our diversified capabilities enable us to reach patients in more than 100 countries who are struggling to live their lives to the fullest. </w:t>
                                    </w:r>
                                    <w:r w:rsidRPr="006C66BA">
                                      <w:rPr>
                                        <w:rFonts w:ascii="Helvetica" w:eastAsia="Times New Roman" w:hAnsi="Helvetica" w:cs="Helvetica"/>
                                        <w:color w:val="444444"/>
                                        <w:sz w:val="18"/>
                                        <w:szCs w:val="18"/>
                                        <w:lang w:eastAsia="en-IE"/>
                                      </w:rPr>
                                      <w:br/>
                                      <w:t>We feel a strong sense of urgency to address unmet medical needs and work tirelessly to improve people’s lives with medicines that have a meaningful impact on patients and all who support them on their journey. www.shire.ie</w:t>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6C66BA" w:rsidRPr="006C66BA">
                                <w:tc>
                                  <w:tcPr>
                                    <w:tcW w:w="0" w:type="auto"/>
                                    <w:shd w:val="clear" w:color="auto" w:fill="FFFFFF"/>
                                    <w:tcMar>
                                      <w:top w:w="270" w:type="dxa"/>
                                      <w:left w:w="270" w:type="dxa"/>
                                      <w:bottom w:w="270" w:type="dxa"/>
                                      <w:right w:w="270" w:type="dxa"/>
                                    </w:tcMar>
                                    <w:hideMark/>
                                  </w:tcPr>
                                  <w:p w:rsidR="006C66BA" w:rsidRPr="006C66BA" w:rsidRDefault="006C66BA" w:rsidP="006C66BA">
                                    <w:pPr>
                                      <w:spacing w:after="0" w:line="315" w:lineRule="atLeast"/>
                                      <w:rPr>
                                        <w:rFonts w:ascii="Helvetica" w:eastAsia="Times New Roman" w:hAnsi="Helvetica" w:cs="Helvetica"/>
                                        <w:color w:val="F2F2F2"/>
                                        <w:sz w:val="21"/>
                                        <w:szCs w:val="21"/>
                                        <w:lang w:eastAsia="en-IE"/>
                                      </w:rPr>
                                    </w:pPr>
                                    <w:r w:rsidRPr="006C66BA">
                                      <w:rPr>
                                        <w:rFonts w:ascii="Helvetica" w:eastAsia="Times New Roman" w:hAnsi="Helvetica" w:cs="Helvetica"/>
                                        <w:b/>
                                        <w:bCs/>
                                        <w:color w:val="444444"/>
                                        <w:sz w:val="18"/>
                                        <w:szCs w:val="18"/>
                                        <w:lang w:eastAsia="en-IE"/>
                                      </w:rPr>
                                      <w:t>About </w:t>
                                    </w:r>
                                    <w:hyperlink r:id="rId11" w:tgtFrame="_blank" w:history="1">
                                      <w:r w:rsidRPr="006C66BA">
                                        <w:rPr>
                                          <w:rFonts w:ascii="Helvetica" w:eastAsia="Times New Roman" w:hAnsi="Helvetica" w:cs="Helvetica"/>
                                          <w:color w:val="444444"/>
                                          <w:sz w:val="18"/>
                                          <w:szCs w:val="18"/>
                                          <w:u w:val="single"/>
                                          <w:lang w:eastAsia="en-IE"/>
                                        </w:rPr>
                                        <w:t>NIBRT</w:t>
                                      </w:r>
                                    </w:hyperlink>
                                    <w:r w:rsidRPr="006C66BA">
                                      <w:rPr>
                                        <w:rFonts w:ascii="Helvetica" w:eastAsia="Times New Roman" w:hAnsi="Helvetica" w:cs="Helvetica"/>
                                        <w:color w:val="F2F2F2"/>
                                        <w:sz w:val="18"/>
                                        <w:szCs w:val="18"/>
                                        <w:lang w:eastAsia="en-IE"/>
                                      </w:rPr>
                                      <w:br/>
                                    </w:r>
                                    <w:r w:rsidRPr="006C66BA">
                                      <w:rPr>
                                        <w:rFonts w:ascii="Helvetica" w:eastAsia="Times New Roman" w:hAnsi="Helvetica" w:cs="Helvetica"/>
                                        <w:color w:val="444444"/>
                                        <w:sz w:val="18"/>
                                        <w:szCs w:val="18"/>
                                        <w:lang w:eastAsia="en-IE"/>
                                      </w:rPr>
                                      <w:t>The National Institute for Bioprocessing Research and Training (NIBRT) is a global centre of excellence for training and research in biopharmaceutical manufacturing. NIBRT is located in a world class facility in Dublin, Ireland.</w:t>
                                    </w:r>
                                    <w:r w:rsidRPr="006C66BA">
                                      <w:rPr>
                                        <w:rFonts w:ascii="Helvetica" w:eastAsia="Times New Roman" w:hAnsi="Helvetica" w:cs="Helvetica"/>
                                        <w:color w:val="444444"/>
                                        <w:sz w:val="18"/>
                                        <w:szCs w:val="18"/>
                                        <w:lang w:eastAsia="en-IE"/>
                                      </w:rPr>
                                      <w:br/>
                                      <w:t>NIBRT's mission is to support the growth and development of all aspects of the biopharmaceutical industry by becoming a global leader in biopharmaceutical manufacturing research, education and training. For further information, please visit </w:t>
                                    </w:r>
                                    <w:hyperlink r:id="rId12" w:history="1">
                                      <w:r w:rsidRPr="006C66BA">
                                        <w:rPr>
                                          <w:rFonts w:ascii="Helvetica" w:eastAsia="Times New Roman" w:hAnsi="Helvetica" w:cs="Helvetica"/>
                                          <w:color w:val="444444"/>
                                          <w:sz w:val="18"/>
                                          <w:szCs w:val="18"/>
                                          <w:u w:val="single"/>
                                          <w:lang w:eastAsia="en-IE"/>
                                        </w:rPr>
                                        <w:t>www.nibrt.ie</w:t>
                                      </w:r>
                                    </w:hyperlink>
                                    <w:r w:rsidRPr="006C66BA">
                                      <w:rPr>
                                        <w:rFonts w:ascii="Helvetica" w:eastAsia="Times New Roman" w:hAnsi="Helvetica" w:cs="Helvetica"/>
                                        <w:color w:val="444444"/>
                                        <w:sz w:val="18"/>
                                        <w:szCs w:val="18"/>
                                        <w:lang w:eastAsia="en-IE"/>
                                      </w:rPr>
                                      <w:t>.</w:t>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6C66BA" w:rsidRPr="006C66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66BA" w:rsidRPr="006C66BA">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6C66BA" w:rsidRPr="006C66BA">
                                <w:tc>
                                  <w:tcPr>
                                    <w:tcW w:w="0" w:type="auto"/>
                                    <w:shd w:val="clear" w:color="auto" w:fill="FFFFFF"/>
                                    <w:tcMar>
                                      <w:top w:w="270" w:type="dxa"/>
                                      <w:left w:w="270" w:type="dxa"/>
                                      <w:bottom w:w="270" w:type="dxa"/>
                                      <w:right w:w="270" w:type="dxa"/>
                                    </w:tcMar>
                                    <w:hideMark/>
                                  </w:tcPr>
                                  <w:p w:rsidR="006C66BA" w:rsidRPr="006C66BA" w:rsidRDefault="006C66BA" w:rsidP="006C66BA">
                                    <w:pPr>
                                      <w:spacing w:after="0" w:line="315" w:lineRule="atLeast"/>
                                      <w:jc w:val="both"/>
                                      <w:rPr>
                                        <w:rFonts w:ascii="Helvetica" w:eastAsia="Times New Roman" w:hAnsi="Helvetica" w:cs="Helvetica"/>
                                        <w:color w:val="F2F2F2"/>
                                        <w:sz w:val="21"/>
                                        <w:szCs w:val="21"/>
                                        <w:lang w:eastAsia="en-IE"/>
                                      </w:rPr>
                                    </w:pPr>
                                    <w:r w:rsidRPr="006C66BA">
                                      <w:rPr>
                                        <w:rFonts w:ascii="Helvetica" w:eastAsia="Times New Roman" w:hAnsi="Helvetica" w:cs="Helvetica"/>
                                        <w:b/>
                                        <w:bCs/>
                                        <w:color w:val="696969"/>
                                        <w:sz w:val="21"/>
                                        <w:szCs w:val="21"/>
                                        <w:lang w:eastAsia="en-IE"/>
                                      </w:rPr>
                                      <w:t>Contact</w:t>
                                    </w:r>
                                    <w:r w:rsidRPr="006C66BA">
                                      <w:rPr>
                                        <w:rFonts w:ascii="Helvetica" w:eastAsia="Times New Roman" w:hAnsi="Helvetica" w:cs="Helvetica"/>
                                        <w:color w:val="F2F2F2"/>
                                        <w:sz w:val="21"/>
                                        <w:szCs w:val="21"/>
                                        <w:lang w:eastAsia="en-IE"/>
                                      </w:rPr>
                                      <w:br/>
                                    </w:r>
                                    <w:r w:rsidRPr="006C66BA">
                                      <w:rPr>
                                        <w:rFonts w:ascii="Helvetica" w:eastAsia="Times New Roman" w:hAnsi="Helvetica" w:cs="Helvetica"/>
                                        <w:color w:val="F2F2F2"/>
                                        <w:sz w:val="21"/>
                                        <w:szCs w:val="21"/>
                                        <w:lang w:eastAsia="en-IE"/>
                                      </w:rPr>
                                      <w:br/>
                                    </w:r>
                                    <w:r w:rsidRPr="006C66BA">
                                      <w:rPr>
                                        <w:rFonts w:ascii="Arial" w:eastAsia="Times New Roman" w:hAnsi="Arial" w:cs="Arial"/>
                                        <w:b/>
                                        <w:bCs/>
                                        <w:color w:val="000000"/>
                                        <w:sz w:val="18"/>
                                        <w:szCs w:val="18"/>
                                        <w:lang w:eastAsia="en-IE"/>
                                      </w:rPr>
                                      <w:t>NIBRT</w:t>
                                    </w:r>
                                    <w:r w:rsidRPr="006C66BA">
                                      <w:rPr>
                                        <w:rFonts w:ascii="Arial" w:eastAsia="Times New Roman" w:hAnsi="Arial" w:cs="Arial"/>
                                        <w:color w:val="000000"/>
                                        <w:sz w:val="18"/>
                                        <w:szCs w:val="18"/>
                                        <w:lang w:eastAsia="en-IE"/>
                                      </w:rPr>
                                      <w:t> </w:t>
                                    </w:r>
                                    <w:r w:rsidRPr="006C66BA">
                                      <w:rPr>
                                        <w:rFonts w:ascii="Arial" w:eastAsia="Times New Roman" w:hAnsi="Arial" w:cs="Arial"/>
                                        <w:color w:val="000000"/>
                                        <w:sz w:val="18"/>
                                        <w:szCs w:val="18"/>
                                        <w:lang w:eastAsia="en-IE"/>
                                      </w:rPr>
                                      <w:br/>
                                      <w:t>Alison Quinn.</w:t>
                                    </w:r>
                                    <w:r w:rsidRPr="006C66BA">
                                      <w:rPr>
                                        <w:rFonts w:ascii="Arial" w:eastAsia="Times New Roman" w:hAnsi="Arial" w:cs="Arial"/>
                                        <w:color w:val="000000"/>
                                        <w:sz w:val="18"/>
                                        <w:szCs w:val="18"/>
                                        <w:lang w:eastAsia="en-IE"/>
                                      </w:rPr>
                                      <w:br/>
                                      <w:t>Marketing &amp; Communications Manager </w:t>
                                    </w:r>
                                    <w:r w:rsidRPr="006C66BA">
                                      <w:rPr>
                                        <w:rFonts w:ascii="Arial" w:eastAsia="Times New Roman" w:hAnsi="Arial" w:cs="Arial"/>
                                        <w:color w:val="F2F2F2"/>
                                        <w:sz w:val="18"/>
                                        <w:szCs w:val="18"/>
                                        <w:lang w:eastAsia="en-IE"/>
                                      </w:rPr>
                                      <w:br/>
                                    </w:r>
                                    <w:hyperlink r:id="rId13" w:tgtFrame="_blank" w:history="1">
                                      <w:r w:rsidRPr="006C66BA">
                                        <w:rPr>
                                          <w:rFonts w:ascii="Arial" w:eastAsia="Times New Roman" w:hAnsi="Arial" w:cs="Arial"/>
                                          <w:color w:val="000000"/>
                                          <w:sz w:val="18"/>
                                          <w:szCs w:val="18"/>
                                          <w:u w:val="single"/>
                                          <w:lang w:eastAsia="en-IE"/>
                                        </w:rPr>
                                        <w:t>alison.quinn</w:t>
                                      </w:r>
                                    </w:hyperlink>
                                    <w:hyperlink r:id="rId14" w:history="1">
                                      <w:r w:rsidRPr="006C66BA">
                                        <w:rPr>
                                          <w:rFonts w:ascii="Arial" w:eastAsia="Times New Roman" w:hAnsi="Arial" w:cs="Arial"/>
                                          <w:color w:val="000000"/>
                                          <w:sz w:val="18"/>
                                          <w:szCs w:val="18"/>
                                          <w:u w:val="single"/>
                                          <w:lang w:eastAsia="en-IE"/>
                                        </w:rPr>
                                        <w:t>@nibrt.ie</w:t>
                                      </w:r>
                                    </w:hyperlink>
                                    <w:r w:rsidRPr="006C66BA">
                                      <w:rPr>
                                        <w:rFonts w:ascii="Arial" w:eastAsia="Times New Roman" w:hAnsi="Arial" w:cs="Arial"/>
                                        <w:color w:val="000000"/>
                                        <w:sz w:val="18"/>
                                        <w:szCs w:val="18"/>
                                        <w:lang w:eastAsia="en-IE"/>
                                      </w:rPr>
                                      <w:t> </w:t>
                                    </w:r>
                                    <w:r w:rsidRPr="006C66BA">
                                      <w:rPr>
                                        <w:rFonts w:ascii="Arial" w:eastAsia="Times New Roman" w:hAnsi="Arial" w:cs="Arial"/>
                                        <w:color w:val="000000"/>
                                        <w:sz w:val="18"/>
                                        <w:szCs w:val="18"/>
                                        <w:lang w:eastAsia="en-IE"/>
                                      </w:rPr>
                                      <w:br/>
                                      <w:t>Office +353 1 215 8194 </w:t>
                                    </w: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rPr>
                      <w:rFonts w:ascii="Times New Roman" w:eastAsia="Times New Roman" w:hAnsi="Times New Roman" w:cs="Times New Roman"/>
                      <w:sz w:val="24"/>
                      <w:szCs w:val="24"/>
                      <w:lang w:eastAsia="en-IE"/>
                    </w:rPr>
                  </w:pPr>
                </w:p>
              </w:tc>
            </w:tr>
          </w:tbl>
          <w:p w:rsidR="006C66BA" w:rsidRPr="006C66BA" w:rsidRDefault="006C66BA" w:rsidP="006C66BA">
            <w:pPr>
              <w:spacing w:after="0" w:line="240" w:lineRule="auto"/>
              <w:jc w:val="center"/>
              <w:rPr>
                <w:rFonts w:ascii="Times New Roman" w:eastAsia="Times New Roman" w:hAnsi="Times New Roman" w:cs="Times New Roman"/>
                <w:color w:val="000000"/>
                <w:sz w:val="27"/>
                <w:szCs w:val="27"/>
                <w:lang w:eastAsia="en-IE"/>
              </w:rPr>
            </w:pPr>
          </w:p>
        </w:tc>
      </w:tr>
    </w:tbl>
    <w:p w:rsidR="00F3242F" w:rsidRPr="006C66BA" w:rsidRDefault="006C66BA" w:rsidP="006C66BA"/>
    <w:sectPr w:rsidR="00F3242F" w:rsidRPr="006C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5ED1"/>
    <w:multiLevelType w:val="multilevel"/>
    <w:tmpl w:val="A2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BA"/>
    <w:rsid w:val="006C66BA"/>
    <w:rsid w:val="00727E05"/>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ADED-702F-4981-8D96-EEF7CB1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6BA"/>
    <w:rPr>
      <w:color w:val="0000FF"/>
      <w:u w:val="single"/>
    </w:rPr>
  </w:style>
  <w:style w:type="paragraph" w:styleId="NormalWeb">
    <w:name w:val="Normal (Web)"/>
    <w:basedOn w:val="Normal"/>
    <w:uiPriority w:val="99"/>
    <w:semiHidden/>
    <w:unhideWhenUsed/>
    <w:rsid w:val="006C66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C66BA"/>
    <w:rPr>
      <w:b/>
      <w:bCs/>
    </w:rPr>
  </w:style>
  <w:style w:type="character" w:styleId="Emphasis">
    <w:name w:val="Emphasis"/>
    <w:basedOn w:val="DefaultParagraphFont"/>
    <w:uiPriority w:val="20"/>
    <w:qFormat/>
    <w:rsid w:val="006C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brt.ie/" TargetMode="External"/><Relationship Id="rId13" Type="http://schemas.openxmlformats.org/officeDocument/2006/relationships/hyperlink" Target="mailto:alison.quinn@nibrt.ie%C2%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brt.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hire.com/" TargetMode="External"/><Relationship Id="rId11" Type="http://schemas.openxmlformats.org/officeDocument/2006/relationships/hyperlink" Target="http://www.nibrt.ie/" TargetMode="External"/><Relationship Id="rId5" Type="http://schemas.openxmlformats.org/officeDocument/2006/relationships/hyperlink" Target="https://mailchi.mp/143653994541/the-national-institute-for-bioprocessing-research-and-training-nibrt-and-pfizer-announce-a-new-collaboration-191949?e=%5bUNIQID%5d"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illian.odriscoll@nib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62FD072F</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2019-02-20T16:18:00Z</dcterms:created>
  <dcterms:modified xsi:type="dcterms:W3CDTF">2019-02-20T16:18:00Z</dcterms:modified>
</cp:coreProperties>
</file>